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B9420" w14:textId="210B6574" w:rsidR="003E4A35" w:rsidRDefault="00044556" w:rsidP="00316553">
      <w:pPr>
        <w:widowControl w:val="0"/>
        <w:spacing w:line="480" w:lineRule="auto"/>
        <w:jc w:val="center"/>
        <w:rPr>
          <w:rFonts w:cs="Times New Roman"/>
          <w:sz w:val="24"/>
          <w:szCs w:val="24"/>
        </w:rPr>
      </w:pPr>
      <w:bookmarkStart w:id="0" w:name="_GoBack"/>
      <w:bookmarkEnd w:id="0"/>
      <w:r>
        <w:rPr>
          <w:rFonts w:cs="Times New Roman"/>
          <w:sz w:val="24"/>
          <w:szCs w:val="24"/>
        </w:rPr>
        <w:t>"</w:t>
      </w:r>
      <w:r w:rsidR="00F14F90">
        <w:rPr>
          <w:rFonts w:cs="Times New Roman"/>
          <w:sz w:val="24"/>
          <w:szCs w:val="24"/>
        </w:rPr>
        <w:t>N</w:t>
      </w:r>
      <w:r w:rsidR="00F14F90" w:rsidRPr="002927F8">
        <w:rPr>
          <w:rFonts w:cs="Times New Roman"/>
          <w:sz w:val="24"/>
          <w:szCs w:val="24"/>
        </w:rPr>
        <w:t xml:space="preserve">ot </w:t>
      </w:r>
      <w:r w:rsidR="00F14F90">
        <w:rPr>
          <w:rFonts w:cs="Times New Roman"/>
          <w:sz w:val="24"/>
          <w:szCs w:val="24"/>
        </w:rPr>
        <w:t>Y</w:t>
      </w:r>
      <w:r w:rsidR="00F14F90" w:rsidRPr="002927F8">
        <w:rPr>
          <w:rFonts w:cs="Times New Roman"/>
          <w:sz w:val="24"/>
          <w:szCs w:val="24"/>
        </w:rPr>
        <w:t xml:space="preserve">our </w:t>
      </w:r>
      <w:r w:rsidR="00F14F90">
        <w:rPr>
          <w:rFonts w:cs="Times New Roman"/>
          <w:sz w:val="24"/>
          <w:szCs w:val="24"/>
        </w:rPr>
        <w:t>A</w:t>
      </w:r>
      <w:r w:rsidR="00F14F90" w:rsidRPr="002927F8">
        <w:rPr>
          <w:rFonts w:cs="Times New Roman"/>
          <w:sz w:val="24"/>
          <w:szCs w:val="24"/>
        </w:rPr>
        <w:t xml:space="preserve">verage </w:t>
      </w:r>
      <w:r w:rsidR="00F14F90">
        <w:rPr>
          <w:rFonts w:cs="Times New Roman"/>
          <w:sz w:val="24"/>
          <w:szCs w:val="24"/>
        </w:rPr>
        <w:t>F</w:t>
      </w:r>
      <w:r w:rsidR="00F14F90" w:rsidRPr="002927F8">
        <w:rPr>
          <w:rFonts w:cs="Times New Roman"/>
          <w:sz w:val="24"/>
          <w:szCs w:val="24"/>
        </w:rPr>
        <w:t>ee-</w:t>
      </w:r>
      <w:r w:rsidR="00F14F90">
        <w:rPr>
          <w:rFonts w:cs="Times New Roman"/>
          <w:sz w:val="24"/>
          <w:szCs w:val="24"/>
        </w:rPr>
        <w:t>S</w:t>
      </w:r>
      <w:r w:rsidR="00F14F90" w:rsidRPr="002927F8">
        <w:rPr>
          <w:rFonts w:cs="Times New Roman"/>
          <w:sz w:val="24"/>
          <w:szCs w:val="24"/>
        </w:rPr>
        <w:t xml:space="preserve">hifting </w:t>
      </w:r>
      <w:r w:rsidR="00F14F90">
        <w:rPr>
          <w:rFonts w:cs="Times New Roman"/>
          <w:sz w:val="24"/>
          <w:szCs w:val="24"/>
        </w:rPr>
        <w:t>P</w:t>
      </w:r>
      <w:r w:rsidR="00F14F90" w:rsidRPr="002927F8">
        <w:rPr>
          <w:rFonts w:cs="Times New Roman"/>
          <w:sz w:val="24"/>
          <w:szCs w:val="24"/>
        </w:rPr>
        <w:t>rovision</w:t>
      </w:r>
      <w:r>
        <w:rPr>
          <w:rFonts w:cs="Times New Roman"/>
          <w:sz w:val="24"/>
          <w:szCs w:val="24"/>
        </w:rPr>
        <w:t>"</w:t>
      </w:r>
      <w:r w:rsidR="00C21061">
        <w:rPr>
          <w:rStyle w:val="FootnoteReference"/>
          <w:rFonts w:cs="Times New Roman"/>
          <w:sz w:val="24"/>
          <w:szCs w:val="24"/>
        </w:rPr>
        <w:footnoteReference w:id="1"/>
      </w:r>
      <w:r w:rsidR="00D67911" w:rsidRPr="009014AE">
        <w:rPr>
          <w:rFonts w:cs="Times New Roman"/>
          <w:sz w:val="24"/>
          <w:szCs w:val="24"/>
        </w:rPr>
        <w:t>:</w:t>
      </w:r>
    </w:p>
    <w:p w14:paraId="21895615" w14:textId="3E8A1386" w:rsidR="00B90D60" w:rsidRPr="005111E2" w:rsidRDefault="001B0089" w:rsidP="00316553">
      <w:pPr>
        <w:widowControl w:val="0"/>
        <w:spacing w:line="480" w:lineRule="auto"/>
        <w:jc w:val="center"/>
        <w:rPr>
          <w:rFonts w:cs="Times New Roman"/>
          <w:sz w:val="24"/>
          <w:szCs w:val="24"/>
        </w:rPr>
      </w:pPr>
      <w:r>
        <w:rPr>
          <w:rFonts w:cs="Times New Roman"/>
          <w:sz w:val="24"/>
          <w:szCs w:val="24"/>
        </w:rPr>
        <w:t>Setting</w:t>
      </w:r>
      <w:r w:rsidR="005111E2">
        <w:rPr>
          <w:rFonts w:cs="Times New Roman"/>
          <w:sz w:val="24"/>
          <w:szCs w:val="24"/>
        </w:rPr>
        <w:t xml:space="preserve"> </w:t>
      </w:r>
      <w:r w:rsidR="00CB3E55">
        <w:rPr>
          <w:rFonts w:cs="Times New Roman"/>
          <w:sz w:val="24"/>
          <w:szCs w:val="24"/>
        </w:rPr>
        <w:t xml:space="preserve">Reasonable </w:t>
      </w:r>
      <w:r>
        <w:rPr>
          <w:rFonts w:cs="Times New Roman"/>
          <w:sz w:val="24"/>
          <w:szCs w:val="24"/>
        </w:rPr>
        <w:t>Restrictions</w:t>
      </w:r>
      <w:r w:rsidR="00CB3E55">
        <w:rPr>
          <w:rFonts w:cs="Times New Roman"/>
          <w:sz w:val="24"/>
          <w:szCs w:val="24"/>
        </w:rPr>
        <w:t xml:space="preserve"> on</w:t>
      </w:r>
      <w:r w:rsidR="005111E2">
        <w:rPr>
          <w:rFonts w:cs="Times New Roman"/>
          <w:sz w:val="24"/>
          <w:szCs w:val="24"/>
        </w:rPr>
        <w:t xml:space="preserve"> Fee-Shifting Bylaws Post-</w:t>
      </w:r>
      <w:r w:rsidR="005111E2">
        <w:rPr>
          <w:rFonts w:cs="Times New Roman"/>
          <w:i/>
          <w:sz w:val="24"/>
          <w:szCs w:val="24"/>
        </w:rPr>
        <w:t>ATP Tour</w:t>
      </w:r>
    </w:p>
    <w:p w14:paraId="2A2EE37A" w14:textId="082655B3" w:rsidR="00D67911" w:rsidRPr="009014AE" w:rsidRDefault="00C3677C" w:rsidP="00493CC4">
      <w:pPr>
        <w:pStyle w:val="Heading1"/>
      </w:pPr>
      <w:r w:rsidRPr="00493CC4">
        <w:t>INTRODUCTION</w:t>
      </w:r>
    </w:p>
    <w:p w14:paraId="65745171" w14:textId="4A35782F" w:rsidR="0017082A" w:rsidRDefault="00362246" w:rsidP="00316553">
      <w:pPr>
        <w:widowControl w:val="0"/>
        <w:spacing w:line="480" w:lineRule="auto"/>
        <w:jc w:val="both"/>
        <w:rPr>
          <w:rFonts w:cs="Times New Roman"/>
          <w:sz w:val="24"/>
          <w:szCs w:val="24"/>
        </w:rPr>
      </w:pPr>
      <w:r w:rsidRPr="009014AE">
        <w:rPr>
          <w:rFonts w:cs="Times New Roman"/>
          <w:sz w:val="24"/>
          <w:szCs w:val="24"/>
        </w:rPr>
        <w:tab/>
      </w:r>
      <w:r w:rsidR="001B0089">
        <w:rPr>
          <w:rFonts w:cs="Times New Roman"/>
          <w:sz w:val="24"/>
          <w:szCs w:val="24"/>
        </w:rPr>
        <w:t xml:space="preserve">In </w:t>
      </w:r>
      <w:r w:rsidR="001B7BC6">
        <w:rPr>
          <w:rFonts w:cs="Times New Roman"/>
          <w:sz w:val="24"/>
          <w:szCs w:val="24"/>
        </w:rPr>
        <w:t>May</w:t>
      </w:r>
      <w:r w:rsidR="00E742E0">
        <w:rPr>
          <w:rFonts w:cs="Times New Roman"/>
          <w:sz w:val="24"/>
          <w:szCs w:val="24"/>
        </w:rPr>
        <w:t xml:space="preserve"> 2014</w:t>
      </w:r>
      <w:r w:rsidR="001B7BC6">
        <w:rPr>
          <w:rFonts w:cs="Times New Roman"/>
          <w:sz w:val="24"/>
          <w:szCs w:val="24"/>
        </w:rPr>
        <w:t xml:space="preserve">, </w:t>
      </w:r>
      <w:r w:rsidR="001B0089">
        <w:rPr>
          <w:rFonts w:cs="Times New Roman"/>
          <w:sz w:val="24"/>
          <w:szCs w:val="24"/>
        </w:rPr>
        <w:t>the</w:t>
      </w:r>
      <w:r w:rsidR="001B0089">
        <w:rPr>
          <w:rFonts w:cs="Times New Roman"/>
          <w:i/>
          <w:sz w:val="24"/>
          <w:szCs w:val="24"/>
        </w:rPr>
        <w:t xml:space="preserve"> </w:t>
      </w:r>
      <w:r w:rsidR="00654416" w:rsidRPr="009014AE">
        <w:rPr>
          <w:rFonts w:cs="Times New Roman"/>
          <w:sz w:val="24"/>
          <w:szCs w:val="24"/>
        </w:rPr>
        <w:t>Delaware Supreme Court</w:t>
      </w:r>
      <w:r w:rsidR="001B0089">
        <w:rPr>
          <w:rFonts w:cs="Times New Roman"/>
          <w:sz w:val="24"/>
          <w:szCs w:val="24"/>
        </w:rPr>
        <w:t xml:space="preserve"> held that </w:t>
      </w:r>
      <w:r w:rsidR="003D13B3">
        <w:rPr>
          <w:rFonts w:cs="Times New Roman"/>
          <w:sz w:val="24"/>
          <w:szCs w:val="24"/>
        </w:rPr>
        <w:t xml:space="preserve">a fee-shifting bylaw unilaterally adopted by a </w:t>
      </w:r>
      <w:r w:rsidR="00F959A3">
        <w:rPr>
          <w:rFonts w:cs="Times New Roman"/>
          <w:sz w:val="24"/>
          <w:szCs w:val="24"/>
        </w:rPr>
        <w:t xml:space="preserve">nonprofit corporation's </w:t>
      </w:r>
      <w:r w:rsidR="003D13B3">
        <w:rPr>
          <w:rFonts w:cs="Times New Roman"/>
          <w:sz w:val="24"/>
          <w:szCs w:val="24"/>
        </w:rPr>
        <w:t xml:space="preserve">board of directors </w:t>
      </w:r>
      <w:r w:rsidR="00291314">
        <w:rPr>
          <w:rFonts w:cs="Times New Roman"/>
          <w:sz w:val="24"/>
          <w:szCs w:val="24"/>
        </w:rPr>
        <w:t>was</w:t>
      </w:r>
      <w:r w:rsidR="003D13B3">
        <w:rPr>
          <w:rFonts w:cs="Times New Roman"/>
          <w:sz w:val="24"/>
          <w:szCs w:val="24"/>
        </w:rPr>
        <w:t xml:space="preserve"> facially valid, even if </w:t>
      </w:r>
      <w:r w:rsidR="00F959A3">
        <w:rPr>
          <w:rFonts w:cs="Times New Roman"/>
          <w:sz w:val="24"/>
          <w:szCs w:val="24"/>
        </w:rPr>
        <w:t>it</w:t>
      </w:r>
      <w:r w:rsidR="003D13B3">
        <w:rPr>
          <w:rFonts w:cs="Times New Roman"/>
          <w:sz w:val="24"/>
          <w:szCs w:val="24"/>
        </w:rPr>
        <w:t xml:space="preserve"> were adopted for the purpose of deterring shareholder litigation.</w:t>
      </w:r>
      <w:r w:rsidR="003D13B3">
        <w:rPr>
          <w:rStyle w:val="FootnoteReference"/>
          <w:rFonts w:cs="Times New Roman"/>
          <w:sz w:val="24"/>
          <w:szCs w:val="24"/>
        </w:rPr>
        <w:footnoteReference w:id="2"/>
      </w:r>
      <w:r w:rsidR="001B7BC6">
        <w:rPr>
          <w:rFonts w:cs="Times New Roman"/>
          <w:sz w:val="24"/>
          <w:szCs w:val="24"/>
        </w:rPr>
        <w:t xml:space="preserve">  The Court's opinion, issued in response to a set of certified questions from the federal district court for the District of Delaware,</w:t>
      </w:r>
      <w:r w:rsidR="00654416" w:rsidRPr="009014AE">
        <w:rPr>
          <w:rFonts w:cs="Times New Roman"/>
          <w:sz w:val="24"/>
          <w:szCs w:val="24"/>
        </w:rPr>
        <w:t xml:space="preserve"> </w:t>
      </w:r>
      <w:r w:rsidR="001B7BC6">
        <w:rPr>
          <w:rFonts w:cs="Times New Roman"/>
          <w:sz w:val="24"/>
          <w:szCs w:val="24"/>
        </w:rPr>
        <w:t>sparked</w:t>
      </w:r>
      <w:r w:rsidR="001405BC" w:rsidRPr="009014AE">
        <w:rPr>
          <w:rFonts w:cs="Times New Roman"/>
          <w:sz w:val="24"/>
          <w:szCs w:val="24"/>
        </w:rPr>
        <w:t xml:space="preserve"> </w:t>
      </w:r>
      <w:r w:rsidR="00E96572" w:rsidRPr="009014AE">
        <w:rPr>
          <w:rFonts w:cs="Times New Roman"/>
          <w:sz w:val="24"/>
          <w:szCs w:val="24"/>
        </w:rPr>
        <w:t>a</w:t>
      </w:r>
      <w:r w:rsidR="001405BC" w:rsidRPr="009014AE">
        <w:rPr>
          <w:rFonts w:cs="Times New Roman"/>
          <w:sz w:val="24"/>
          <w:szCs w:val="24"/>
        </w:rPr>
        <w:t xml:space="preserve"> debate </w:t>
      </w:r>
      <w:r w:rsidR="00E96572" w:rsidRPr="009014AE">
        <w:rPr>
          <w:rFonts w:cs="Times New Roman"/>
          <w:sz w:val="24"/>
          <w:szCs w:val="24"/>
        </w:rPr>
        <w:t xml:space="preserve">over the </w:t>
      </w:r>
      <w:r w:rsidR="00DA0E84">
        <w:rPr>
          <w:rFonts w:cs="Times New Roman"/>
          <w:sz w:val="24"/>
          <w:szCs w:val="24"/>
        </w:rPr>
        <w:t xml:space="preserve">legal and </w:t>
      </w:r>
      <w:r w:rsidR="00DC605E" w:rsidRPr="009014AE">
        <w:rPr>
          <w:rFonts w:cs="Times New Roman"/>
          <w:sz w:val="24"/>
          <w:szCs w:val="24"/>
        </w:rPr>
        <w:t xml:space="preserve">policy implications of enabling corporate boards to </w:t>
      </w:r>
      <w:r w:rsidR="00DA0E84">
        <w:rPr>
          <w:rFonts w:cs="Times New Roman"/>
          <w:sz w:val="24"/>
          <w:szCs w:val="24"/>
        </w:rPr>
        <w:t>impose liability for the corporation's legal fees onto plaintiff shareholders</w:t>
      </w:r>
      <w:r w:rsidR="00DC605E" w:rsidRPr="009014AE">
        <w:rPr>
          <w:rFonts w:cs="Times New Roman"/>
          <w:sz w:val="24"/>
          <w:szCs w:val="24"/>
        </w:rPr>
        <w:t>.</w:t>
      </w:r>
      <w:r w:rsidR="00DC605E" w:rsidRPr="009014AE">
        <w:rPr>
          <w:rStyle w:val="FootnoteReference"/>
          <w:rFonts w:cs="Times New Roman"/>
          <w:sz w:val="24"/>
          <w:szCs w:val="24"/>
        </w:rPr>
        <w:footnoteReference w:id="3"/>
      </w:r>
      <w:r w:rsidR="0077314F" w:rsidRPr="009014AE">
        <w:rPr>
          <w:rFonts w:cs="Times New Roman"/>
          <w:sz w:val="24"/>
          <w:szCs w:val="24"/>
        </w:rPr>
        <w:t xml:space="preserve">  </w:t>
      </w:r>
    </w:p>
    <w:p w14:paraId="11496012" w14:textId="7624F4E5" w:rsidR="007E2D0D" w:rsidRPr="005715C9" w:rsidRDefault="000629EB" w:rsidP="00316553">
      <w:pPr>
        <w:widowControl w:val="0"/>
        <w:spacing w:line="480" w:lineRule="auto"/>
        <w:ind w:firstLine="720"/>
        <w:jc w:val="both"/>
        <w:rPr>
          <w:rFonts w:cs="Times New Roman"/>
          <w:sz w:val="24"/>
          <w:szCs w:val="24"/>
        </w:rPr>
      </w:pPr>
      <w:r>
        <w:rPr>
          <w:rFonts w:cs="Times New Roman"/>
          <w:sz w:val="24"/>
          <w:szCs w:val="24"/>
        </w:rPr>
        <w:t xml:space="preserve">Those alarmed by the prospect of </w:t>
      </w:r>
      <w:r w:rsidR="00E17A4B">
        <w:rPr>
          <w:rFonts w:cs="Times New Roman"/>
          <w:sz w:val="24"/>
          <w:szCs w:val="24"/>
        </w:rPr>
        <w:t xml:space="preserve">fee-shifting bylaws </w:t>
      </w:r>
      <w:r>
        <w:rPr>
          <w:rFonts w:cs="Times New Roman"/>
          <w:sz w:val="24"/>
          <w:szCs w:val="24"/>
        </w:rPr>
        <w:t xml:space="preserve">argue that they </w:t>
      </w:r>
      <w:r w:rsidR="00102E49">
        <w:rPr>
          <w:rFonts w:cs="Times New Roman"/>
          <w:sz w:val="24"/>
          <w:szCs w:val="24"/>
        </w:rPr>
        <w:t>are an unfair and unprecedented imposition of liability on shareholders that will prevent shareholders from taking action against board misconduct.</w:t>
      </w:r>
      <w:r w:rsidR="00102E49">
        <w:rPr>
          <w:rStyle w:val="FootnoteReference"/>
          <w:rFonts w:cs="Times New Roman"/>
          <w:sz w:val="24"/>
          <w:szCs w:val="24"/>
        </w:rPr>
        <w:footnoteReference w:id="4"/>
      </w:r>
      <w:r w:rsidR="00102E49">
        <w:rPr>
          <w:rFonts w:cs="Times New Roman"/>
          <w:sz w:val="24"/>
          <w:szCs w:val="24"/>
        </w:rPr>
        <w:t xml:space="preserve">  </w:t>
      </w:r>
      <w:r w:rsidR="007B309A">
        <w:rPr>
          <w:rFonts w:cs="Times New Roman"/>
          <w:sz w:val="24"/>
          <w:szCs w:val="24"/>
        </w:rPr>
        <w:t>Others</w:t>
      </w:r>
      <w:r w:rsidR="00CE54A2">
        <w:rPr>
          <w:rFonts w:cs="Times New Roman"/>
          <w:sz w:val="24"/>
          <w:szCs w:val="24"/>
        </w:rPr>
        <w:t xml:space="preserve"> argue</w:t>
      </w:r>
      <w:r w:rsidR="00E257E2">
        <w:rPr>
          <w:rFonts w:cs="Times New Roman"/>
          <w:sz w:val="24"/>
          <w:szCs w:val="24"/>
        </w:rPr>
        <w:t xml:space="preserve"> that </w:t>
      </w:r>
      <w:r w:rsidR="00CE54A2">
        <w:rPr>
          <w:rFonts w:cs="Times New Roman"/>
          <w:sz w:val="24"/>
          <w:szCs w:val="24"/>
        </w:rPr>
        <w:t>f</w:t>
      </w:r>
      <w:r w:rsidR="00D00E02">
        <w:rPr>
          <w:rFonts w:cs="Times New Roman"/>
          <w:sz w:val="24"/>
          <w:szCs w:val="24"/>
        </w:rPr>
        <w:t xml:space="preserve">ee-shifting bylaws </w:t>
      </w:r>
      <w:r w:rsidR="0017082A">
        <w:rPr>
          <w:rFonts w:cs="Times New Roman"/>
          <w:sz w:val="24"/>
          <w:szCs w:val="24"/>
        </w:rPr>
        <w:t xml:space="preserve">can help corporations </w:t>
      </w:r>
      <w:r w:rsidR="00535ADB">
        <w:rPr>
          <w:rFonts w:cs="Times New Roman"/>
          <w:sz w:val="24"/>
          <w:szCs w:val="24"/>
        </w:rPr>
        <w:t>deter</w:t>
      </w:r>
      <w:r w:rsidR="0017082A">
        <w:rPr>
          <w:rFonts w:cs="Times New Roman"/>
          <w:sz w:val="24"/>
          <w:szCs w:val="24"/>
        </w:rPr>
        <w:t xml:space="preserve"> excessive and frivolous transaction-related litigation.</w:t>
      </w:r>
      <w:r w:rsidR="004C4BCE">
        <w:rPr>
          <w:rStyle w:val="FootnoteReference"/>
          <w:rFonts w:cs="Times New Roman"/>
          <w:sz w:val="24"/>
          <w:szCs w:val="24"/>
        </w:rPr>
        <w:footnoteReference w:id="5"/>
      </w:r>
      <w:r w:rsidR="00823BC4">
        <w:rPr>
          <w:rFonts w:cs="Times New Roman"/>
          <w:sz w:val="24"/>
          <w:szCs w:val="24"/>
        </w:rPr>
        <w:t xml:space="preserve">  </w:t>
      </w:r>
      <w:r w:rsidR="007A0A85">
        <w:rPr>
          <w:rFonts w:cs="Times New Roman"/>
          <w:sz w:val="24"/>
          <w:szCs w:val="24"/>
        </w:rPr>
        <w:t>In evaluating these concerns, it is helpful to examine the Court’s opinion in</w:t>
      </w:r>
      <w:r w:rsidR="005715C9">
        <w:rPr>
          <w:rFonts w:cs="Times New Roman"/>
          <w:sz w:val="24"/>
          <w:szCs w:val="24"/>
        </w:rPr>
        <w:t xml:space="preserve"> </w:t>
      </w:r>
      <w:r w:rsidR="005715C9">
        <w:rPr>
          <w:rFonts w:cs="Times New Roman"/>
          <w:i/>
          <w:sz w:val="24"/>
          <w:szCs w:val="24"/>
        </w:rPr>
        <w:t>ATP Tour</w:t>
      </w:r>
      <w:r w:rsidR="005715C9">
        <w:rPr>
          <w:rFonts w:cs="Times New Roman"/>
          <w:sz w:val="24"/>
          <w:szCs w:val="24"/>
        </w:rPr>
        <w:t xml:space="preserve"> </w:t>
      </w:r>
      <w:r w:rsidR="007A0A85">
        <w:rPr>
          <w:rFonts w:cs="Times New Roman"/>
          <w:sz w:val="24"/>
          <w:szCs w:val="24"/>
        </w:rPr>
        <w:t>as well as</w:t>
      </w:r>
      <w:r w:rsidR="005715C9">
        <w:rPr>
          <w:rFonts w:cs="Times New Roman"/>
          <w:sz w:val="24"/>
          <w:szCs w:val="24"/>
        </w:rPr>
        <w:t xml:space="preserve"> </w:t>
      </w:r>
      <w:r w:rsidR="00FD5FD3">
        <w:rPr>
          <w:rFonts w:cs="Times New Roman"/>
          <w:sz w:val="24"/>
          <w:szCs w:val="24"/>
        </w:rPr>
        <w:t>related Delaware jurisprudence</w:t>
      </w:r>
      <w:r w:rsidR="00AB2942">
        <w:rPr>
          <w:rFonts w:cs="Times New Roman"/>
          <w:sz w:val="24"/>
          <w:szCs w:val="24"/>
        </w:rPr>
        <w:t>, including the Delaware Court of Chancery's 2013 opinion</w:t>
      </w:r>
      <w:r w:rsidR="005715C9">
        <w:rPr>
          <w:rFonts w:cs="Times New Roman"/>
          <w:sz w:val="24"/>
          <w:szCs w:val="24"/>
        </w:rPr>
        <w:t xml:space="preserve"> </w:t>
      </w:r>
      <w:r w:rsidR="00BA6524">
        <w:rPr>
          <w:rFonts w:cs="Times New Roman"/>
          <w:sz w:val="24"/>
          <w:szCs w:val="24"/>
        </w:rPr>
        <w:t>upholding</w:t>
      </w:r>
      <w:r w:rsidR="005715C9">
        <w:rPr>
          <w:rFonts w:cs="Times New Roman"/>
          <w:sz w:val="24"/>
          <w:szCs w:val="24"/>
        </w:rPr>
        <w:t xml:space="preserve"> forum selection </w:t>
      </w:r>
      <w:r w:rsidR="00421A57">
        <w:rPr>
          <w:rFonts w:cs="Times New Roman"/>
          <w:sz w:val="24"/>
          <w:szCs w:val="24"/>
        </w:rPr>
        <w:t xml:space="preserve">bylaws in </w:t>
      </w:r>
      <w:r w:rsidR="00421A57">
        <w:rPr>
          <w:rFonts w:cs="Times New Roman"/>
          <w:i/>
          <w:sz w:val="24"/>
          <w:szCs w:val="24"/>
        </w:rPr>
        <w:t>Boilermakers Local 154 Retirement Fund v. Chevron Corp</w:t>
      </w:r>
      <w:r w:rsidR="005715C9">
        <w:rPr>
          <w:rFonts w:cs="Times New Roman"/>
          <w:sz w:val="24"/>
          <w:szCs w:val="24"/>
        </w:rPr>
        <w:t>.</w:t>
      </w:r>
      <w:r w:rsidR="00421A57">
        <w:rPr>
          <w:rStyle w:val="FootnoteReference"/>
          <w:rFonts w:cs="Times New Roman"/>
          <w:sz w:val="24"/>
          <w:szCs w:val="24"/>
        </w:rPr>
        <w:footnoteReference w:id="6"/>
      </w:r>
      <w:r w:rsidR="003166FB">
        <w:rPr>
          <w:rFonts w:cs="Times New Roman"/>
          <w:sz w:val="24"/>
          <w:szCs w:val="24"/>
        </w:rPr>
        <w:t xml:space="preserve">  </w:t>
      </w:r>
    </w:p>
    <w:p w14:paraId="49C5E2F7" w14:textId="3EDB6A3F" w:rsidR="00CB5060" w:rsidRPr="009014AE" w:rsidRDefault="00E40BF8" w:rsidP="00316553">
      <w:pPr>
        <w:widowControl w:val="0"/>
        <w:spacing w:line="480" w:lineRule="auto"/>
        <w:ind w:firstLine="720"/>
        <w:jc w:val="both"/>
        <w:rPr>
          <w:rFonts w:cs="Times New Roman"/>
          <w:sz w:val="24"/>
          <w:szCs w:val="24"/>
        </w:rPr>
      </w:pPr>
      <w:r w:rsidRPr="009014AE">
        <w:rPr>
          <w:rFonts w:cs="Times New Roman"/>
          <w:sz w:val="24"/>
          <w:szCs w:val="24"/>
        </w:rPr>
        <w:t xml:space="preserve">This Note </w:t>
      </w:r>
      <w:r w:rsidR="00CB5060" w:rsidRPr="009014AE">
        <w:rPr>
          <w:rFonts w:cs="Times New Roman"/>
          <w:sz w:val="24"/>
          <w:szCs w:val="24"/>
        </w:rPr>
        <w:t>argues</w:t>
      </w:r>
      <w:r w:rsidR="00E30193" w:rsidRPr="009014AE">
        <w:rPr>
          <w:rFonts w:cs="Times New Roman"/>
          <w:sz w:val="24"/>
          <w:szCs w:val="24"/>
        </w:rPr>
        <w:t xml:space="preserve"> that fee-shifting bylaws </w:t>
      </w:r>
      <w:r w:rsidR="00FC06CB">
        <w:rPr>
          <w:rFonts w:cs="Times New Roman"/>
          <w:sz w:val="24"/>
          <w:szCs w:val="24"/>
        </w:rPr>
        <w:t>should be available to</w:t>
      </w:r>
      <w:r w:rsidR="00E30193" w:rsidRPr="009014AE">
        <w:rPr>
          <w:rFonts w:cs="Times New Roman"/>
          <w:sz w:val="24"/>
          <w:szCs w:val="24"/>
        </w:rPr>
        <w:t xml:space="preserve"> Delaware </w:t>
      </w:r>
      <w:r w:rsidR="00FC06CB">
        <w:rPr>
          <w:rFonts w:cs="Times New Roman"/>
          <w:sz w:val="24"/>
          <w:szCs w:val="24"/>
        </w:rPr>
        <w:t>corporations in a way that limits</w:t>
      </w:r>
      <w:r w:rsidR="00DB539B" w:rsidRPr="009014AE">
        <w:rPr>
          <w:rFonts w:cs="Times New Roman"/>
          <w:sz w:val="24"/>
          <w:szCs w:val="24"/>
        </w:rPr>
        <w:t xml:space="preserve"> the potenti</w:t>
      </w:r>
      <w:r w:rsidR="007D2045">
        <w:rPr>
          <w:rFonts w:cs="Times New Roman"/>
          <w:sz w:val="24"/>
          <w:szCs w:val="24"/>
        </w:rPr>
        <w:t>al negative impact on plaintiff shareholders</w:t>
      </w:r>
      <w:r w:rsidR="00B77CFD" w:rsidRPr="009014AE">
        <w:rPr>
          <w:rFonts w:cs="Times New Roman"/>
          <w:sz w:val="24"/>
          <w:szCs w:val="24"/>
        </w:rPr>
        <w:t>.  Part I</w:t>
      </w:r>
      <w:r w:rsidR="00AE34A5">
        <w:rPr>
          <w:rFonts w:cs="Times New Roman"/>
          <w:sz w:val="24"/>
          <w:szCs w:val="24"/>
        </w:rPr>
        <w:t>I</w:t>
      </w:r>
      <w:r w:rsidR="00B17D5A" w:rsidRPr="009014AE">
        <w:rPr>
          <w:rFonts w:cs="Times New Roman"/>
          <w:sz w:val="24"/>
          <w:szCs w:val="24"/>
        </w:rPr>
        <w:t xml:space="preserve"> </w:t>
      </w:r>
      <w:r w:rsidR="00656B8D">
        <w:rPr>
          <w:rFonts w:cs="Times New Roman"/>
          <w:sz w:val="24"/>
          <w:szCs w:val="24"/>
        </w:rPr>
        <w:t>discusses</w:t>
      </w:r>
      <w:r w:rsidR="00ED10AD" w:rsidRPr="009014AE">
        <w:rPr>
          <w:rFonts w:cs="Times New Roman"/>
          <w:sz w:val="24"/>
          <w:szCs w:val="24"/>
        </w:rPr>
        <w:t xml:space="preserve"> </w:t>
      </w:r>
      <w:r w:rsidR="005D1D55">
        <w:rPr>
          <w:rFonts w:cs="Times New Roman"/>
          <w:sz w:val="24"/>
          <w:szCs w:val="24"/>
        </w:rPr>
        <w:t>Delaware</w:t>
      </w:r>
      <w:r w:rsidR="00656B8D">
        <w:rPr>
          <w:rFonts w:cs="Times New Roman"/>
          <w:sz w:val="24"/>
          <w:szCs w:val="24"/>
        </w:rPr>
        <w:t>'s approach to</w:t>
      </w:r>
      <w:r w:rsidR="00ED10AD" w:rsidRPr="009014AE">
        <w:rPr>
          <w:rFonts w:cs="Times New Roman"/>
          <w:sz w:val="24"/>
          <w:szCs w:val="24"/>
        </w:rPr>
        <w:t xml:space="preserve"> </w:t>
      </w:r>
      <w:r w:rsidR="005D1D55">
        <w:rPr>
          <w:rFonts w:cs="Times New Roman"/>
          <w:sz w:val="24"/>
          <w:szCs w:val="24"/>
        </w:rPr>
        <w:t xml:space="preserve">bylaws </w:t>
      </w:r>
      <w:r w:rsidR="00E6558B">
        <w:rPr>
          <w:rFonts w:cs="Times New Roman"/>
          <w:sz w:val="24"/>
          <w:szCs w:val="24"/>
        </w:rPr>
        <w:t>generally</w:t>
      </w:r>
      <w:r w:rsidR="00725256">
        <w:rPr>
          <w:rFonts w:cs="Times New Roman"/>
          <w:sz w:val="24"/>
          <w:szCs w:val="24"/>
        </w:rPr>
        <w:t xml:space="preserve"> and</w:t>
      </w:r>
      <w:r w:rsidR="00E6558B">
        <w:rPr>
          <w:rFonts w:cs="Times New Roman"/>
          <w:sz w:val="24"/>
          <w:szCs w:val="24"/>
        </w:rPr>
        <w:t xml:space="preserve"> </w:t>
      </w:r>
      <w:r w:rsidR="00010DA5">
        <w:rPr>
          <w:rFonts w:cs="Times New Roman"/>
          <w:sz w:val="24"/>
          <w:szCs w:val="24"/>
        </w:rPr>
        <w:t xml:space="preserve">the </w:t>
      </w:r>
      <w:r w:rsidR="007D59F8">
        <w:rPr>
          <w:rFonts w:cs="Times New Roman"/>
          <w:sz w:val="24"/>
          <w:szCs w:val="24"/>
        </w:rPr>
        <w:t xml:space="preserve">Court's apparent endorsement of </w:t>
      </w:r>
      <w:r w:rsidR="00B177D7">
        <w:rPr>
          <w:rFonts w:cs="Times New Roman"/>
          <w:sz w:val="24"/>
          <w:szCs w:val="24"/>
        </w:rPr>
        <w:t>fee-shifting</w:t>
      </w:r>
      <w:r w:rsidR="00ED10AD" w:rsidRPr="009014AE">
        <w:rPr>
          <w:rFonts w:cs="Times New Roman"/>
          <w:sz w:val="24"/>
          <w:szCs w:val="24"/>
        </w:rPr>
        <w:t xml:space="preserve"> </w:t>
      </w:r>
      <w:r w:rsidR="00D95146">
        <w:rPr>
          <w:rFonts w:cs="Times New Roman"/>
          <w:sz w:val="24"/>
          <w:szCs w:val="24"/>
        </w:rPr>
        <w:lastRenderedPageBreak/>
        <w:t>bylaws</w:t>
      </w:r>
      <w:r w:rsidR="00ED10AD" w:rsidRPr="009014AE">
        <w:rPr>
          <w:rFonts w:cs="Times New Roman"/>
          <w:sz w:val="24"/>
          <w:szCs w:val="24"/>
        </w:rPr>
        <w:t xml:space="preserve"> in </w:t>
      </w:r>
      <w:r w:rsidR="00ED10AD" w:rsidRPr="009014AE">
        <w:rPr>
          <w:rFonts w:cs="Times New Roman"/>
          <w:i/>
          <w:sz w:val="24"/>
          <w:szCs w:val="24"/>
        </w:rPr>
        <w:t>ATP Tour</w:t>
      </w:r>
      <w:r w:rsidR="008265C7" w:rsidRPr="009014AE">
        <w:rPr>
          <w:rFonts w:cs="Times New Roman"/>
          <w:sz w:val="24"/>
          <w:szCs w:val="24"/>
        </w:rPr>
        <w:t>.</w:t>
      </w:r>
      <w:r w:rsidR="008265C7" w:rsidRPr="009014AE">
        <w:rPr>
          <w:rStyle w:val="FootnoteReference"/>
          <w:rFonts w:cs="Times New Roman"/>
          <w:sz w:val="24"/>
          <w:szCs w:val="24"/>
        </w:rPr>
        <w:t xml:space="preserve"> </w:t>
      </w:r>
      <w:r w:rsidR="008265C7" w:rsidRPr="009014AE">
        <w:rPr>
          <w:rStyle w:val="FootnoteReference"/>
          <w:rFonts w:cs="Times New Roman"/>
          <w:sz w:val="24"/>
          <w:szCs w:val="24"/>
        </w:rPr>
        <w:footnoteReference w:id="7"/>
      </w:r>
      <w:r w:rsidR="008265C7" w:rsidRPr="009014AE">
        <w:rPr>
          <w:rFonts w:cs="Times New Roman"/>
          <w:sz w:val="24"/>
          <w:szCs w:val="24"/>
        </w:rPr>
        <w:t xml:space="preserve">  </w:t>
      </w:r>
      <w:r w:rsidR="00302C7A" w:rsidRPr="009014AE">
        <w:rPr>
          <w:rFonts w:cs="Times New Roman"/>
          <w:sz w:val="24"/>
          <w:szCs w:val="24"/>
        </w:rPr>
        <w:t>Part I</w:t>
      </w:r>
      <w:r w:rsidR="00AE34A5">
        <w:rPr>
          <w:rFonts w:cs="Times New Roman"/>
          <w:sz w:val="24"/>
          <w:szCs w:val="24"/>
        </w:rPr>
        <w:t>I</w:t>
      </w:r>
      <w:r w:rsidR="00302C7A" w:rsidRPr="009014AE">
        <w:rPr>
          <w:rFonts w:cs="Times New Roman"/>
          <w:sz w:val="24"/>
          <w:szCs w:val="24"/>
        </w:rPr>
        <w:t xml:space="preserve">I </w:t>
      </w:r>
      <w:r w:rsidR="0038560D" w:rsidRPr="009014AE">
        <w:rPr>
          <w:rFonts w:cs="Times New Roman"/>
          <w:sz w:val="24"/>
          <w:szCs w:val="24"/>
        </w:rPr>
        <w:t>presents both sides of the debate over fee-shifting bylaws, including</w:t>
      </w:r>
      <w:r w:rsidR="00AE34A5">
        <w:rPr>
          <w:rFonts w:cs="Times New Roman"/>
          <w:sz w:val="24"/>
          <w:szCs w:val="24"/>
        </w:rPr>
        <w:t xml:space="preserve"> </w:t>
      </w:r>
      <w:r w:rsidR="0038560D" w:rsidRPr="009014AE">
        <w:rPr>
          <w:rFonts w:cs="Times New Roman"/>
          <w:sz w:val="24"/>
          <w:szCs w:val="24"/>
        </w:rPr>
        <w:t xml:space="preserve">the concerns </w:t>
      </w:r>
      <w:r w:rsidR="00302C7A" w:rsidRPr="009014AE">
        <w:rPr>
          <w:rFonts w:cs="Times New Roman"/>
          <w:sz w:val="24"/>
          <w:szCs w:val="24"/>
        </w:rPr>
        <w:t>raised by such bylaws that might justify legislative action</w:t>
      </w:r>
      <w:r w:rsidR="00AE34A5">
        <w:rPr>
          <w:rFonts w:cs="Times New Roman"/>
          <w:sz w:val="24"/>
          <w:szCs w:val="24"/>
        </w:rPr>
        <w:t>,</w:t>
      </w:r>
      <w:r w:rsidR="009F73FB">
        <w:rPr>
          <w:rFonts w:cs="Times New Roman"/>
          <w:sz w:val="24"/>
          <w:szCs w:val="24"/>
        </w:rPr>
        <w:t xml:space="preserve"> and</w:t>
      </w:r>
      <w:r w:rsidR="00AE34A5">
        <w:rPr>
          <w:rFonts w:cs="Times New Roman"/>
          <w:sz w:val="24"/>
          <w:szCs w:val="24"/>
        </w:rPr>
        <w:t xml:space="preserve"> </w:t>
      </w:r>
      <w:r w:rsidR="00684AD3">
        <w:rPr>
          <w:rFonts w:cs="Times New Roman"/>
          <w:sz w:val="24"/>
          <w:szCs w:val="24"/>
        </w:rPr>
        <w:t xml:space="preserve">the </w:t>
      </w:r>
      <w:r w:rsidR="00313746">
        <w:rPr>
          <w:rFonts w:cs="Times New Roman"/>
          <w:sz w:val="24"/>
          <w:szCs w:val="24"/>
        </w:rPr>
        <w:t>arguments in support of a more hand</w:t>
      </w:r>
      <w:r w:rsidR="00F250A5">
        <w:rPr>
          <w:rFonts w:cs="Times New Roman"/>
          <w:sz w:val="24"/>
          <w:szCs w:val="24"/>
        </w:rPr>
        <w:t>s</w:t>
      </w:r>
      <w:r w:rsidR="00313746">
        <w:rPr>
          <w:rFonts w:cs="Times New Roman"/>
          <w:sz w:val="24"/>
          <w:szCs w:val="24"/>
        </w:rPr>
        <w:t>-off approach</w:t>
      </w:r>
      <w:r w:rsidR="00302C7A" w:rsidRPr="009014AE">
        <w:rPr>
          <w:rFonts w:cs="Times New Roman"/>
          <w:sz w:val="24"/>
          <w:szCs w:val="24"/>
        </w:rPr>
        <w:t>.</w:t>
      </w:r>
      <w:r w:rsidR="00302C7A" w:rsidRPr="009014AE">
        <w:rPr>
          <w:rStyle w:val="FootnoteReference"/>
          <w:rFonts w:cs="Times New Roman"/>
          <w:sz w:val="24"/>
          <w:szCs w:val="24"/>
        </w:rPr>
        <w:footnoteReference w:id="8"/>
      </w:r>
      <w:r w:rsidR="00302C7A" w:rsidRPr="009014AE">
        <w:rPr>
          <w:rFonts w:cs="Times New Roman"/>
          <w:sz w:val="24"/>
          <w:szCs w:val="24"/>
        </w:rPr>
        <w:t xml:space="preserve">  </w:t>
      </w:r>
      <w:r w:rsidR="004C1F8C" w:rsidRPr="009014AE">
        <w:rPr>
          <w:rFonts w:cs="Times New Roman"/>
          <w:sz w:val="24"/>
          <w:szCs w:val="24"/>
        </w:rPr>
        <w:t xml:space="preserve">In Part </w:t>
      </w:r>
      <w:r w:rsidR="009B5C93">
        <w:rPr>
          <w:rFonts w:cs="Times New Roman"/>
          <w:sz w:val="24"/>
          <w:szCs w:val="24"/>
        </w:rPr>
        <w:t>IV</w:t>
      </w:r>
      <w:r w:rsidR="004C1F8C" w:rsidRPr="009014AE">
        <w:rPr>
          <w:rFonts w:cs="Times New Roman"/>
          <w:sz w:val="24"/>
          <w:szCs w:val="24"/>
        </w:rPr>
        <w:t xml:space="preserve">, </w:t>
      </w:r>
      <w:r w:rsidR="00673EA2" w:rsidRPr="009014AE">
        <w:rPr>
          <w:rFonts w:cs="Times New Roman"/>
          <w:sz w:val="24"/>
          <w:szCs w:val="24"/>
        </w:rPr>
        <w:t xml:space="preserve">this Note </w:t>
      </w:r>
      <w:r w:rsidR="005F6946">
        <w:rPr>
          <w:rFonts w:cs="Times New Roman"/>
          <w:sz w:val="24"/>
          <w:szCs w:val="24"/>
        </w:rPr>
        <w:t>considers</w:t>
      </w:r>
      <w:r w:rsidR="00B61AB6" w:rsidRPr="009014AE">
        <w:rPr>
          <w:rFonts w:cs="Times New Roman"/>
          <w:sz w:val="24"/>
          <w:szCs w:val="24"/>
        </w:rPr>
        <w:t xml:space="preserve"> </w:t>
      </w:r>
      <w:r w:rsidR="0086555F">
        <w:rPr>
          <w:rFonts w:cs="Times New Roman"/>
          <w:sz w:val="24"/>
          <w:szCs w:val="24"/>
        </w:rPr>
        <w:t>several solutions</w:t>
      </w:r>
      <w:r w:rsidR="00873FC4">
        <w:rPr>
          <w:rFonts w:cs="Times New Roman"/>
          <w:sz w:val="24"/>
          <w:szCs w:val="24"/>
        </w:rPr>
        <w:t xml:space="preserve"> that seek to address the concerns of both corporations and their stockholders</w:t>
      </w:r>
      <w:r w:rsidR="00B61AB6" w:rsidRPr="009014AE">
        <w:rPr>
          <w:rFonts w:cs="Times New Roman"/>
          <w:sz w:val="24"/>
          <w:szCs w:val="24"/>
        </w:rPr>
        <w:t>.</w:t>
      </w:r>
      <w:r w:rsidR="00B61AB6" w:rsidRPr="009014AE">
        <w:rPr>
          <w:rStyle w:val="FootnoteReference"/>
          <w:rFonts w:cs="Times New Roman"/>
          <w:sz w:val="24"/>
          <w:szCs w:val="24"/>
        </w:rPr>
        <w:footnoteReference w:id="9"/>
      </w:r>
      <w:r w:rsidR="00B61AB6" w:rsidRPr="009014AE">
        <w:rPr>
          <w:rFonts w:cs="Times New Roman"/>
          <w:sz w:val="24"/>
          <w:szCs w:val="24"/>
        </w:rPr>
        <w:t xml:space="preserve">  </w:t>
      </w:r>
      <w:r w:rsidR="003A7E0C">
        <w:rPr>
          <w:rFonts w:cs="Times New Roman"/>
          <w:sz w:val="24"/>
          <w:szCs w:val="24"/>
        </w:rPr>
        <w:t>A</w:t>
      </w:r>
      <w:r w:rsidR="007A3937">
        <w:rPr>
          <w:rFonts w:cs="Times New Roman"/>
          <w:sz w:val="24"/>
          <w:szCs w:val="24"/>
        </w:rPr>
        <w:t xml:space="preserve">ction may not be necessary to the extent that shareholders can limit </w:t>
      </w:r>
      <w:r w:rsidR="00BF4A96">
        <w:rPr>
          <w:rFonts w:cs="Times New Roman"/>
          <w:sz w:val="24"/>
          <w:szCs w:val="24"/>
        </w:rPr>
        <w:t xml:space="preserve">the </w:t>
      </w:r>
      <w:r w:rsidR="007A3937">
        <w:rPr>
          <w:rFonts w:cs="Times New Roman"/>
          <w:sz w:val="24"/>
          <w:szCs w:val="24"/>
        </w:rPr>
        <w:t>adoption of fee-shifting bylaws</w:t>
      </w:r>
      <w:r w:rsidR="00BF4A96">
        <w:rPr>
          <w:rFonts w:cs="Times New Roman"/>
          <w:sz w:val="24"/>
          <w:szCs w:val="24"/>
        </w:rPr>
        <w:t>.</w:t>
      </w:r>
      <w:r w:rsidR="00194AB7">
        <w:rPr>
          <w:rStyle w:val="FootnoteReference"/>
          <w:rFonts w:cs="Times New Roman"/>
          <w:sz w:val="24"/>
          <w:szCs w:val="24"/>
        </w:rPr>
        <w:footnoteReference w:id="10"/>
      </w:r>
      <w:r w:rsidR="00BF4A96">
        <w:rPr>
          <w:rFonts w:cs="Times New Roman"/>
          <w:sz w:val="24"/>
          <w:szCs w:val="24"/>
        </w:rPr>
        <w:t xml:space="preserve"> </w:t>
      </w:r>
      <w:r w:rsidR="007A3937">
        <w:rPr>
          <w:rFonts w:cs="Times New Roman"/>
          <w:sz w:val="24"/>
          <w:szCs w:val="24"/>
        </w:rPr>
        <w:t xml:space="preserve"> </w:t>
      </w:r>
      <w:r w:rsidR="006A1FA3">
        <w:rPr>
          <w:rFonts w:cs="Times New Roman"/>
          <w:sz w:val="24"/>
          <w:szCs w:val="24"/>
        </w:rPr>
        <w:t>Also</w:t>
      </w:r>
      <w:r w:rsidR="00BF4A96">
        <w:rPr>
          <w:rFonts w:cs="Times New Roman"/>
          <w:sz w:val="24"/>
          <w:szCs w:val="24"/>
        </w:rPr>
        <w:t>,</w:t>
      </w:r>
      <w:r w:rsidR="007A3937">
        <w:rPr>
          <w:rFonts w:cs="Times New Roman"/>
          <w:sz w:val="24"/>
          <w:szCs w:val="24"/>
        </w:rPr>
        <w:t xml:space="preserve"> courts </w:t>
      </w:r>
      <w:r w:rsidR="00BF4A96">
        <w:rPr>
          <w:rFonts w:cs="Times New Roman"/>
          <w:sz w:val="24"/>
          <w:szCs w:val="24"/>
        </w:rPr>
        <w:t>may be able to successfully</w:t>
      </w:r>
      <w:r w:rsidR="007A3937">
        <w:rPr>
          <w:rFonts w:cs="Times New Roman"/>
          <w:sz w:val="24"/>
          <w:szCs w:val="24"/>
        </w:rPr>
        <w:t xml:space="preserve"> </w:t>
      </w:r>
      <w:r w:rsidR="00DA77B6">
        <w:rPr>
          <w:rFonts w:cs="Times New Roman"/>
          <w:sz w:val="24"/>
          <w:szCs w:val="24"/>
        </w:rPr>
        <w:t>prevent</w:t>
      </w:r>
      <w:r w:rsidR="007A3937">
        <w:rPr>
          <w:rFonts w:cs="Times New Roman"/>
          <w:sz w:val="24"/>
          <w:szCs w:val="24"/>
        </w:rPr>
        <w:t xml:space="preserve"> their abuse.</w:t>
      </w:r>
      <w:r w:rsidR="00DC523F">
        <w:rPr>
          <w:rStyle w:val="FootnoteReference"/>
          <w:rFonts w:cs="Times New Roman"/>
          <w:sz w:val="24"/>
          <w:szCs w:val="24"/>
        </w:rPr>
        <w:footnoteReference w:id="11"/>
      </w:r>
      <w:r w:rsidR="007A3937">
        <w:rPr>
          <w:rFonts w:cs="Times New Roman"/>
          <w:sz w:val="24"/>
          <w:szCs w:val="24"/>
        </w:rPr>
        <w:t xml:space="preserve">  T</w:t>
      </w:r>
      <w:r w:rsidR="0037170E">
        <w:rPr>
          <w:rFonts w:cs="Times New Roman"/>
          <w:sz w:val="24"/>
          <w:szCs w:val="24"/>
        </w:rPr>
        <w:t>here are</w:t>
      </w:r>
      <w:r w:rsidR="007A3937">
        <w:rPr>
          <w:rFonts w:cs="Times New Roman"/>
          <w:sz w:val="24"/>
          <w:szCs w:val="24"/>
        </w:rPr>
        <w:t>, however,</w:t>
      </w:r>
      <w:r w:rsidR="0037170E">
        <w:rPr>
          <w:rFonts w:cs="Times New Roman"/>
          <w:sz w:val="24"/>
          <w:szCs w:val="24"/>
        </w:rPr>
        <w:t xml:space="preserve"> multiple approaches that can be taken alone or in concert to </w:t>
      </w:r>
      <w:r w:rsidR="00827B54">
        <w:rPr>
          <w:rFonts w:cs="Times New Roman"/>
          <w:sz w:val="24"/>
          <w:szCs w:val="24"/>
        </w:rPr>
        <w:t xml:space="preserve">allow </w:t>
      </w:r>
      <w:r w:rsidR="00786A7B">
        <w:rPr>
          <w:rFonts w:cs="Times New Roman"/>
          <w:sz w:val="24"/>
          <w:szCs w:val="24"/>
        </w:rPr>
        <w:t xml:space="preserve">some </w:t>
      </w:r>
      <w:r w:rsidR="00827B54">
        <w:rPr>
          <w:rFonts w:cs="Times New Roman"/>
          <w:sz w:val="24"/>
          <w:szCs w:val="24"/>
        </w:rPr>
        <w:t xml:space="preserve">corporations to </w:t>
      </w:r>
      <w:r w:rsidR="00CB73A3">
        <w:rPr>
          <w:rFonts w:cs="Times New Roman"/>
          <w:sz w:val="24"/>
          <w:szCs w:val="24"/>
        </w:rPr>
        <w:t xml:space="preserve">utilize fee </w:t>
      </w:r>
      <w:r w:rsidR="00827B54">
        <w:rPr>
          <w:rFonts w:cs="Times New Roman"/>
          <w:sz w:val="24"/>
          <w:szCs w:val="24"/>
        </w:rPr>
        <w:t>shifting while limiting the potential chill to</w:t>
      </w:r>
      <w:r w:rsidR="00E0757F">
        <w:rPr>
          <w:rFonts w:cs="Times New Roman"/>
          <w:sz w:val="24"/>
          <w:szCs w:val="24"/>
        </w:rPr>
        <w:t xml:space="preserve"> legitimate</w:t>
      </w:r>
      <w:r w:rsidR="00827B54">
        <w:rPr>
          <w:rFonts w:cs="Times New Roman"/>
          <w:sz w:val="24"/>
          <w:szCs w:val="24"/>
        </w:rPr>
        <w:t xml:space="preserve"> shareholder litigation.</w:t>
      </w:r>
      <w:r w:rsidR="007A3937">
        <w:rPr>
          <w:rStyle w:val="FootnoteReference"/>
          <w:rFonts w:cs="Times New Roman"/>
          <w:sz w:val="24"/>
          <w:szCs w:val="24"/>
        </w:rPr>
        <w:footnoteReference w:id="12"/>
      </w:r>
      <w:r w:rsidR="00AD5253">
        <w:rPr>
          <w:rFonts w:cs="Times New Roman"/>
          <w:sz w:val="24"/>
          <w:szCs w:val="24"/>
        </w:rPr>
        <w:t xml:space="preserve">  </w:t>
      </w:r>
    </w:p>
    <w:p w14:paraId="3295EAFC" w14:textId="3C6497AB" w:rsidR="00F7082D" w:rsidRPr="007C57EB" w:rsidRDefault="00F7082D" w:rsidP="00493CC4">
      <w:pPr>
        <w:pStyle w:val="Heading1"/>
      </w:pPr>
      <w:r w:rsidRPr="007C57EB">
        <w:t>BACKGROUND</w:t>
      </w:r>
    </w:p>
    <w:p w14:paraId="54923EA2" w14:textId="12EDB7DE" w:rsidR="00802422" w:rsidRPr="009014AE" w:rsidRDefault="00603A5E" w:rsidP="00316553">
      <w:pPr>
        <w:widowControl w:val="0"/>
        <w:spacing w:line="480" w:lineRule="auto"/>
        <w:ind w:firstLine="720"/>
        <w:jc w:val="both"/>
        <w:rPr>
          <w:rFonts w:cs="Times New Roman"/>
          <w:sz w:val="24"/>
          <w:szCs w:val="24"/>
        </w:rPr>
      </w:pPr>
      <w:r w:rsidRPr="009014AE">
        <w:rPr>
          <w:rFonts w:cs="Times New Roman"/>
          <w:sz w:val="24"/>
          <w:szCs w:val="24"/>
        </w:rPr>
        <w:t>The Delaware Genera</w:t>
      </w:r>
      <w:r w:rsidR="00B660AF" w:rsidRPr="009014AE">
        <w:rPr>
          <w:rFonts w:cs="Times New Roman"/>
          <w:sz w:val="24"/>
          <w:szCs w:val="24"/>
        </w:rPr>
        <w:t xml:space="preserve">l Corporation Law </w:t>
      </w:r>
      <w:r w:rsidR="00FE5F95">
        <w:rPr>
          <w:rFonts w:cs="Times New Roman"/>
          <w:sz w:val="24"/>
          <w:szCs w:val="24"/>
        </w:rPr>
        <w:t xml:space="preserve">("DGCL") </w:t>
      </w:r>
      <w:r w:rsidR="00B660AF" w:rsidRPr="009014AE">
        <w:rPr>
          <w:rFonts w:cs="Times New Roman"/>
          <w:sz w:val="24"/>
          <w:szCs w:val="24"/>
        </w:rPr>
        <w:t>provides that</w:t>
      </w:r>
      <w:r w:rsidR="00126D80" w:rsidRPr="009014AE">
        <w:rPr>
          <w:rFonts w:cs="Times New Roman"/>
          <w:sz w:val="24"/>
          <w:szCs w:val="24"/>
        </w:rPr>
        <w:t xml:space="preserve"> </w:t>
      </w:r>
      <w:r w:rsidR="00044556">
        <w:rPr>
          <w:rFonts w:cs="Times New Roman"/>
          <w:sz w:val="24"/>
          <w:szCs w:val="24"/>
        </w:rPr>
        <w:t>"</w:t>
      </w:r>
      <w:r w:rsidR="00126D80" w:rsidRPr="009014AE">
        <w:rPr>
          <w:rFonts w:cs="Times New Roman"/>
          <w:sz w:val="24"/>
          <w:szCs w:val="24"/>
        </w:rPr>
        <w:t>bylaws may contain any provision, not inconsistent with law or with the certificate of incorporation, relating to the business of the corporation, the conduct of its affairs, and its rights or powers or the rights or powers of its stockholders, directors, officers or employees.</w:t>
      </w:r>
      <w:r w:rsidR="00044556">
        <w:rPr>
          <w:rFonts w:cs="Times New Roman"/>
          <w:sz w:val="24"/>
          <w:szCs w:val="24"/>
        </w:rPr>
        <w:t>"</w:t>
      </w:r>
      <w:r w:rsidR="00126D80" w:rsidRPr="009014AE">
        <w:rPr>
          <w:rStyle w:val="FootnoteReference"/>
          <w:rFonts w:cs="Times New Roman"/>
          <w:sz w:val="24"/>
          <w:szCs w:val="24"/>
        </w:rPr>
        <w:footnoteReference w:id="13"/>
      </w:r>
      <w:r w:rsidR="00F3456E" w:rsidRPr="009014AE">
        <w:rPr>
          <w:rFonts w:cs="Times New Roman"/>
          <w:sz w:val="24"/>
          <w:szCs w:val="24"/>
        </w:rPr>
        <w:t xml:space="preserve"> </w:t>
      </w:r>
      <w:r w:rsidR="00A22385" w:rsidRPr="009014AE">
        <w:rPr>
          <w:rFonts w:cs="Times New Roman"/>
          <w:sz w:val="24"/>
          <w:szCs w:val="24"/>
        </w:rPr>
        <w:t xml:space="preserve"> </w:t>
      </w:r>
      <w:r w:rsidR="00E57EB6" w:rsidRPr="009014AE">
        <w:rPr>
          <w:sz w:val="24"/>
          <w:szCs w:val="24"/>
        </w:rPr>
        <w:t xml:space="preserve">Valid subject matter for </w:t>
      </w:r>
      <w:r w:rsidR="006D2602" w:rsidRPr="009014AE">
        <w:rPr>
          <w:sz w:val="24"/>
          <w:szCs w:val="24"/>
        </w:rPr>
        <w:t>bylaws</w:t>
      </w:r>
      <w:r w:rsidR="00E57EB6" w:rsidRPr="009014AE">
        <w:rPr>
          <w:sz w:val="24"/>
          <w:szCs w:val="24"/>
        </w:rPr>
        <w:t xml:space="preserve"> include</w:t>
      </w:r>
      <w:r w:rsidR="006D2602" w:rsidRPr="009014AE">
        <w:rPr>
          <w:sz w:val="24"/>
          <w:szCs w:val="24"/>
        </w:rPr>
        <w:t xml:space="preserve"> </w:t>
      </w:r>
      <w:r w:rsidR="00044556">
        <w:rPr>
          <w:sz w:val="24"/>
          <w:szCs w:val="24"/>
        </w:rPr>
        <w:t>"</w:t>
      </w:r>
      <w:r w:rsidR="006D2602" w:rsidRPr="009014AE">
        <w:rPr>
          <w:sz w:val="24"/>
          <w:szCs w:val="24"/>
        </w:rPr>
        <w:t>the rules by which the corporate board conducts its business</w:t>
      </w:r>
      <w:r w:rsidR="00466F45" w:rsidRPr="009014AE">
        <w:rPr>
          <w:sz w:val="24"/>
          <w:szCs w:val="24"/>
        </w:rPr>
        <w:t>,</w:t>
      </w:r>
      <w:r w:rsidR="00044556">
        <w:rPr>
          <w:sz w:val="24"/>
          <w:szCs w:val="24"/>
        </w:rPr>
        <w:t>"</w:t>
      </w:r>
      <w:r w:rsidR="00D264B8" w:rsidRPr="009014AE">
        <w:rPr>
          <w:rStyle w:val="FootnoteReference"/>
          <w:sz w:val="24"/>
          <w:szCs w:val="24"/>
        </w:rPr>
        <w:footnoteReference w:id="14"/>
      </w:r>
      <w:r w:rsidR="006D2602" w:rsidRPr="009014AE">
        <w:rPr>
          <w:sz w:val="24"/>
          <w:szCs w:val="24"/>
        </w:rPr>
        <w:t xml:space="preserve"> </w:t>
      </w:r>
      <w:r w:rsidR="00044556">
        <w:rPr>
          <w:sz w:val="24"/>
          <w:szCs w:val="24"/>
        </w:rPr>
        <w:t>"</w:t>
      </w:r>
      <w:r w:rsidR="00F07F35" w:rsidRPr="009014AE">
        <w:rPr>
          <w:sz w:val="24"/>
          <w:szCs w:val="24"/>
        </w:rPr>
        <w:t>how stockholders may exercise their rights,</w:t>
      </w:r>
      <w:r w:rsidR="00044556">
        <w:rPr>
          <w:sz w:val="24"/>
          <w:szCs w:val="24"/>
        </w:rPr>
        <w:t>"</w:t>
      </w:r>
      <w:r w:rsidR="00F07F35" w:rsidRPr="009014AE">
        <w:rPr>
          <w:rStyle w:val="FootnoteReference"/>
          <w:sz w:val="24"/>
          <w:szCs w:val="24"/>
        </w:rPr>
        <w:footnoteReference w:id="15"/>
      </w:r>
      <w:r w:rsidR="00616DC2" w:rsidRPr="009014AE">
        <w:rPr>
          <w:sz w:val="24"/>
          <w:szCs w:val="24"/>
        </w:rPr>
        <w:t xml:space="preserve"> and, </w:t>
      </w:r>
      <w:r w:rsidR="00775562">
        <w:rPr>
          <w:sz w:val="24"/>
          <w:szCs w:val="24"/>
        </w:rPr>
        <w:t>per</w:t>
      </w:r>
      <w:r w:rsidR="00616DC2" w:rsidRPr="009014AE">
        <w:rPr>
          <w:sz w:val="24"/>
          <w:szCs w:val="24"/>
        </w:rPr>
        <w:t xml:space="preserve"> </w:t>
      </w:r>
      <w:r w:rsidR="00616DC2" w:rsidRPr="009014AE">
        <w:rPr>
          <w:i/>
          <w:sz w:val="24"/>
          <w:szCs w:val="24"/>
        </w:rPr>
        <w:t>ATP Tour</w:t>
      </w:r>
      <w:r w:rsidR="00616DC2" w:rsidRPr="009014AE">
        <w:rPr>
          <w:sz w:val="24"/>
          <w:szCs w:val="24"/>
        </w:rPr>
        <w:t>,</w:t>
      </w:r>
      <w:r w:rsidR="00616DC2" w:rsidRPr="009014AE">
        <w:rPr>
          <w:i/>
          <w:sz w:val="24"/>
          <w:szCs w:val="24"/>
        </w:rPr>
        <w:t xml:space="preserve"> </w:t>
      </w:r>
      <w:r w:rsidR="00E57EB6" w:rsidRPr="009014AE">
        <w:rPr>
          <w:sz w:val="24"/>
          <w:szCs w:val="24"/>
        </w:rPr>
        <w:t>the</w:t>
      </w:r>
      <w:r w:rsidR="00634A21" w:rsidRPr="009014AE">
        <w:rPr>
          <w:sz w:val="24"/>
          <w:szCs w:val="24"/>
        </w:rPr>
        <w:t xml:space="preserve"> </w:t>
      </w:r>
      <w:r w:rsidR="00044556">
        <w:rPr>
          <w:sz w:val="24"/>
          <w:szCs w:val="24"/>
        </w:rPr>
        <w:t>"</w:t>
      </w:r>
      <w:r w:rsidR="00E57EB6" w:rsidRPr="009014AE">
        <w:rPr>
          <w:sz w:val="24"/>
          <w:szCs w:val="24"/>
        </w:rPr>
        <w:t>allocat</w:t>
      </w:r>
      <w:r w:rsidR="00466F45" w:rsidRPr="009014AE">
        <w:rPr>
          <w:sz w:val="24"/>
          <w:szCs w:val="24"/>
        </w:rPr>
        <w:t>[</w:t>
      </w:r>
      <w:r w:rsidR="00E57EB6" w:rsidRPr="009014AE">
        <w:rPr>
          <w:sz w:val="24"/>
          <w:szCs w:val="24"/>
        </w:rPr>
        <w:t>ion of</w:t>
      </w:r>
      <w:r w:rsidR="00466F45" w:rsidRPr="009014AE">
        <w:rPr>
          <w:sz w:val="24"/>
          <w:szCs w:val="24"/>
        </w:rPr>
        <w:t>] risk among</w:t>
      </w:r>
      <w:r w:rsidR="000767CD" w:rsidRPr="009014AE">
        <w:rPr>
          <w:sz w:val="24"/>
          <w:szCs w:val="24"/>
        </w:rPr>
        <w:t xml:space="preserve"> </w:t>
      </w:r>
      <w:r w:rsidR="00466F45" w:rsidRPr="009014AE">
        <w:rPr>
          <w:sz w:val="24"/>
          <w:szCs w:val="24"/>
        </w:rPr>
        <w:t>parties in intra-corporate litigation</w:t>
      </w:r>
      <w:r w:rsidR="000767CD" w:rsidRPr="009014AE">
        <w:rPr>
          <w:sz w:val="24"/>
          <w:szCs w:val="24"/>
        </w:rPr>
        <w:t>.</w:t>
      </w:r>
      <w:r w:rsidR="00044556">
        <w:rPr>
          <w:sz w:val="24"/>
          <w:szCs w:val="24"/>
        </w:rPr>
        <w:t>"</w:t>
      </w:r>
      <w:r w:rsidR="00827DB5" w:rsidRPr="009014AE">
        <w:rPr>
          <w:rStyle w:val="FootnoteReference"/>
          <w:sz w:val="24"/>
          <w:szCs w:val="24"/>
        </w:rPr>
        <w:footnoteReference w:id="16"/>
      </w:r>
      <w:r w:rsidR="00D35F65" w:rsidRPr="009014AE">
        <w:rPr>
          <w:sz w:val="24"/>
          <w:szCs w:val="24"/>
        </w:rPr>
        <w:t xml:space="preserve">  </w:t>
      </w:r>
    </w:p>
    <w:p w14:paraId="09997CD9" w14:textId="73C7A6B1" w:rsidR="005A653E" w:rsidRPr="009014AE" w:rsidRDefault="00FB16F2" w:rsidP="00316553">
      <w:pPr>
        <w:widowControl w:val="0"/>
        <w:spacing w:line="480" w:lineRule="auto"/>
        <w:ind w:firstLine="720"/>
        <w:jc w:val="both"/>
        <w:rPr>
          <w:rFonts w:cs="Times New Roman"/>
          <w:sz w:val="24"/>
          <w:szCs w:val="24"/>
        </w:rPr>
      </w:pPr>
      <w:r w:rsidRPr="009014AE">
        <w:rPr>
          <w:rFonts w:cs="Times New Roman"/>
          <w:sz w:val="24"/>
          <w:szCs w:val="24"/>
        </w:rPr>
        <w:t xml:space="preserve">Delaware </w:t>
      </w:r>
      <w:r w:rsidR="00AE1CD1" w:rsidRPr="009014AE">
        <w:rPr>
          <w:rFonts w:cs="Times New Roman"/>
          <w:sz w:val="24"/>
          <w:szCs w:val="24"/>
        </w:rPr>
        <w:t>courts treat</w:t>
      </w:r>
      <w:r w:rsidRPr="009014AE">
        <w:rPr>
          <w:rFonts w:cs="Times New Roman"/>
          <w:sz w:val="24"/>
          <w:szCs w:val="24"/>
        </w:rPr>
        <w:t xml:space="preserve"> a corporation's governing documents</w:t>
      </w:r>
      <w:r w:rsidR="00FF5FC7" w:rsidRPr="009014AE">
        <w:rPr>
          <w:rFonts w:cs="Times New Roman"/>
          <w:sz w:val="24"/>
          <w:szCs w:val="24"/>
        </w:rPr>
        <w:t xml:space="preserve"> </w:t>
      </w:r>
      <w:r w:rsidR="00372A80">
        <w:rPr>
          <w:rFonts w:cs="Times New Roman"/>
          <w:sz w:val="24"/>
          <w:szCs w:val="24"/>
        </w:rPr>
        <w:t xml:space="preserve">collectively </w:t>
      </w:r>
      <w:r w:rsidR="002A7338" w:rsidRPr="009014AE">
        <w:rPr>
          <w:rFonts w:cs="Times New Roman"/>
          <w:sz w:val="24"/>
          <w:szCs w:val="24"/>
        </w:rPr>
        <w:t xml:space="preserve">as </w:t>
      </w:r>
      <w:r w:rsidR="00372A80">
        <w:rPr>
          <w:rFonts w:cs="Times New Roman"/>
          <w:sz w:val="24"/>
          <w:szCs w:val="24"/>
        </w:rPr>
        <w:t xml:space="preserve">a </w:t>
      </w:r>
      <w:r w:rsidR="00B8363E" w:rsidRPr="009014AE">
        <w:rPr>
          <w:rFonts w:cs="Times New Roman"/>
          <w:sz w:val="24"/>
          <w:szCs w:val="24"/>
        </w:rPr>
        <w:t>contract</w:t>
      </w:r>
      <w:r w:rsidR="00E93230" w:rsidRPr="009014AE">
        <w:rPr>
          <w:rFonts w:cs="Times New Roman"/>
          <w:sz w:val="24"/>
          <w:szCs w:val="24"/>
        </w:rPr>
        <w:t>.</w:t>
      </w:r>
      <w:r w:rsidR="00E93230" w:rsidRPr="009014AE">
        <w:rPr>
          <w:rStyle w:val="FootnoteReference"/>
          <w:rFonts w:cs="Times New Roman"/>
          <w:sz w:val="24"/>
          <w:szCs w:val="24"/>
        </w:rPr>
        <w:footnoteReference w:id="17"/>
      </w:r>
      <w:r w:rsidR="00000A3A" w:rsidRPr="009014AE">
        <w:rPr>
          <w:rFonts w:cs="Times New Roman"/>
          <w:sz w:val="24"/>
          <w:szCs w:val="24"/>
        </w:rPr>
        <w:t xml:space="preserve">  </w:t>
      </w:r>
      <w:r w:rsidR="002A7338" w:rsidRPr="009014AE">
        <w:rPr>
          <w:rFonts w:cs="Times New Roman"/>
          <w:sz w:val="24"/>
          <w:szCs w:val="24"/>
        </w:rPr>
        <w:t>The contract is fluid in that its provisions can be amended, repealed, or added to by the shareholders or the directors</w:t>
      </w:r>
      <w:r w:rsidR="00405059" w:rsidRPr="009014AE">
        <w:rPr>
          <w:rFonts w:cs="Times New Roman"/>
          <w:sz w:val="24"/>
          <w:szCs w:val="24"/>
        </w:rPr>
        <w:t xml:space="preserve"> at any time</w:t>
      </w:r>
      <w:r w:rsidR="002A7338" w:rsidRPr="009014AE">
        <w:rPr>
          <w:rFonts w:cs="Times New Roman"/>
          <w:sz w:val="24"/>
          <w:szCs w:val="24"/>
        </w:rPr>
        <w:t>.</w:t>
      </w:r>
      <w:r w:rsidR="0009156A" w:rsidRPr="009014AE">
        <w:rPr>
          <w:rStyle w:val="FootnoteReference"/>
          <w:rFonts w:cs="Times New Roman"/>
          <w:sz w:val="24"/>
          <w:szCs w:val="24"/>
        </w:rPr>
        <w:footnoteReference w:id="18"/>
      </w:r>
      <w:r w:rsidR="0075337C" w:rsidRPr="009014AE">
        <w:rPr>
          <w:rFonts w:cs="Times New Roman"/>
          <w:sz w:val="24"/>
          <w:szCs w:val="24"/>
        </w:rPr>
        <w:t xml:space="preserve">  </w:t>
      </w:r>
      <w:r w:rsidR="005A653E" w:rsidRPr="009014AE">
        <w:rPr>
          <w:rFonts w:cs="Times New Roman"/>
          <w:sz w:val="24"/>
          <w:szCs w:val="24"/>
        </w:rPr>
        <w:t xml:space="preserve">Where </w:t>
      </w:r>
      <w:r w:rsidR="00E05E6C" w:rsidRPr="009014AE">
        <w:rPr>
          <w:rFonts w:cs="Times New Roman"/>
          <w:sz w:val="24"/>
          <w:szCs w:val="24"/>
        </w:rPr>
        <w:t>the</w:t>
      </w:r>
      <w:r w:rsidR="005A653E" w:rsidRPr="009014AE">
        <w:rPr>
          <w:rFonts w:cs="Times New Roman"/>
          <w:sz w:val="24"/>
          <w:szCs w:val="24"/>
        </w:rPr>
        <w:t xml:space="preserve"> corporation grants </w:t>
      </w:r>
      <w:r w:rsidR="00DB18F6" w:rsidRPr="009014AE">
        <w:rPr>
          <w:rFonts w:cs="Times New Roman"/>
          <w:sz w:val="24"/>
          <w:szCs w:val="24"/>
        </w:rPr>
        <w:t>directors</w:t>
      </w:r>
      <w:r w:rsidR="005A653E" w:rsidRPr="009014AE">
        <w:rPr>
          <w:rFonts w:cs="Times New Roman"/>
          <w:sz w:val="24"/>
          <w:szCs w:val="24"/>
        </w:rPr>
        <w:t xml:space="preserve"> the power</w:t>
      </w:r>
      <w:r w:rsidR="00DB18F6" w:rsidRPr="009014AE">
        <w:rPr>
          <w:rFonts w:cs="Times New Roman"/>
          <w:sz w:val="24"/>
          <w:szCs w:val="24"/>
        </w:rPr>
        <w:t xml:space="preserve"> to change bylaws</w:t>
      </w:r>
      <w:r w:rsidR="005A653E" w:rsidRPr="009014AE">
        <w:rPr>
          <w:rFonts w:cs="Times New Roman"/>
          <w:sz w:val="24"/>
          <w:szCs w:val="24"/>
        </w:rPr>
        <w:t xml:space="preserve">, the board </w:t>
      </w:r>
      <w:r w:rsidR="00DB18F6" w:rsidRPr="009014AE">
        <w:rPr>
          <w:rFonts w:cs="Times New Roman"/>
          <w:sz w:val="24"/>
          <w:szCs w:val="24"/>
        </w:rPr>
        <w:t>may lawfully do so</w:t>
      </w:r>
      <w:r w:rsidR="005A653E" w:rsidRPr="009014AE">
        <w:rPr>
          <w:rFonts w:cs="Times New Roman"/>
          <w:sz w:val="24"/>
          <w:szCs w:val="24"/>
        </w:rPr>
        <w:t xml:space="preserve"> without shareholder consent.</w:t>
      </w:r>
      <w:r w:rsidR="005A653E" w:rsidRPr="009014AE">
        <w:rPr>
          <w:rStyle w:val="FootnoteReference"/>
          <w:rFonts w:cs="Times New Roman"/>
          <w:sz w:val="24"/>
          <w:szCs w:val="24"/>
        </w:rPr>
        <w:footnoteReference w:id="19"/>
      </w:r>
      <w:r w:rsidR="005A653E" w:rsidRPr="009014AE">
        <w:rPr>
          <w:rFonts w:cs="Times New Roman"/>
          <w:sz w:val="24"/>
          <w:szCs w:val="24"/>
        </w:rPr>
        <w:t xml:space="preserve">  Any bylaw validly adopted by the board is </w:t>
      </w:r>
      <w:r w:rsidR="0051067A" w:rsidRPr="009014AE">
        <w:rPr>
          <w:rFonts w:cs="Times New Roman"/>
          <w:sz w:val="24"/>
          <w:szCs w:val="24"/>
        </w:rPr>
        <w:t xml:space="preserve">then </w:t>
      </w:r>
      <w:r w:rsidR="005A653E" w:rsidRPr="009014AE">
        <w:rPr>
          <w:rFonts w:cs="Times New Roman"/>
          <w:sz w:val="24"/>
          <w:szCs w:val="24"/>
        </w:rPr>
        <w:t xml:space="preserve">deemed agreed to by the shareholders </w:t>
      </w:r>
      <w:r w:rsidR="005863F9">
        <w:rPr>
          <w:rFonts w:cs="Times New Roman"/>
          <w:sz w:val="24"/>
          <w:szCs w:val="24"/>
        </w:rPr>
        <w:t>and is therefore</w:t>
      </w:r>
      <w:r w:rsidR="005A653E" w:rsidRPr="009014AE">
        <w:rPr>
          <w:rFonts w:cs="Times New Roman"/>
          <w:sz w:val="24"/>
          <w:szCs w:val="24"/>
        </w:rPr>
        <w:t xml:space="preserve"> </w:t>
      </w:r>
      <w:r w:rsidR="00044556">
        <w:rPr>
          <w:rFonts w:cs="Times New Roman"/>
          <w:sz w:val="24"/>
          <w:szCs w:val="24"/>
        </w:rPr>
        <w:t>"</w:t>
      </w:r>
      <w:r w:rsidR="005A653E" w:rsidRPr="009014AE">
        <w:rPr>
          <w:rFonts w:cs="Times New Roman"/>
          <w:sz w:val="24"/>
          <w:szCs w:val="24"/>
        </w:rPr>
        <w:t>contractually binding.</w:t>
      </w:r>
      <w:r w:rsidR="00044556">
        <w:rPr>
          <w:rFonts w:cs="Times New Roman"/>
          <w:sz w:val="24"/>
          <w:szCs w:val="24"/>
        </w:rPr>
        <w:t>"</w:t>
      </w:r>
      <w:r w:rsidR="005A653E" w:rsidRPr="009014AE">
        <w:rPr>
          <w:rStyle w:val="FootnoteReference"/>
          <w:rFonts w:cs="Times New Roman"/>
          <w:sz w:val="24"/>
          <w:szCs w:val="24"/>
        </w:rPr>
        <w:footnoteReference w:id="20"/>
      </w:r>
      <w:r w:rsidR="00405059" w:rsidRPr="009014AE">
        <w:rPr>
          <w:rFonts w:cs="Times New Roman"/>
          <w:sz w:val="24"/>
          <w:szCs w:val="24"/>
        </w:rPr>
        <w:t xml:space="preserve">  </w:t>
      </w:r>
      <w:r w:rsidR="00C63D48">
        <w:rPr>
          <w:rFonts w:cs="Times New Roman"/>
          <w:sz w:val="24"/>
          <w:szCs w:val="24"/>
        </w:rPr>
        <w:t>Therefore</w:t>
      </w:r>
      <w:r w:rsidR="00405059" w:rsidRPr="009014AE">
        <w:rPr>
          <w:rFonts w:cs="Times New Roman"/>
          <w:sz w:val="24"/>
          <w:szCs w:val="24"/>
        </w:rPr>
        <w:t xml:space="preserve">, unlike </w:t>
      </w:r>
      <w:r w:rsidR="009E69B1" w:rsidRPr="009014AE">
        <w:rPr>
          <w:rFonts w:cs="Times New Roman"/>
          <w:sz w:val="24"/>
          <w:szCs w:val="24"/>
        </w:rPr>
        <w:t>most contracts, bylaws are subject to unilateral change</w:t>
      </w:r>
      <w:r w:rsidR="00732E17" w:rsidRPr="009014AE">
        <w:rPr>
          <w:rFonts w:cs="Times New Roman"/>
          <w:sz w:val="24"/>
          <w:szCs w:val="24"/>
        </w:rPr>
        <w:t xml:space="preserve"> </w:t>
      </w:r>
      <w:r w:rsidR="0079452D" w:rsidRPr="009014AE">
        <w:rPr>
          <w:rFonts w:cs="Times New Roman"/>
          <w:sz w:val="24"/>
          <w:szCs w:val="24"/>
        </w:rPr>
        <w:t xml:space="preserve">by </w:t>
      </w:r>
      <w:r w:rsidR="00F62460">
        <w:rPr>
          <w:rFonts w:cs="Times New Roman"/>
          <w:sz w:val="24"/>
          <w:szCs w:val="24"/>
        </w:rPr>
        <w:t>either party</w:t>
      </w:r>
      <w:r w:rsidR="009169B6" w:rsidRPr="009014AE">
        <w:rPr>
          <w:rFonts w:cs="Times New Roman"/>
          <w:sz w:val="24"/>
          <w:szCs w:val="24"/>
        </w:rPr>
        <w:t>.</w:t>
      </w:r>
      <w:r w:rsidR="00641714" w:rsidRPr="009014AE">
        <w:rPr>
          <w:rStyle w:val="FootnoteReference"/>
          <w:rFonts w:cs="Times New Roman"/>
          <w:sz w:val="24"/>
          <w:szCs w:val="24"/>
        </w:rPr>
        <w:footnoteReference w:id="21"/>
      </w:r>
      <w:r w:rsidR="009E69B1" w:rsidRPr="009014AE">
        <w:rPr>
          <w:rFonts w:cs="Times New Roman"/>
          <w:sz w:val="24"/>
          <w:szCs w:val="24"/>
        </w:rPr>
        <w:t xml:space="preserve"> </w:t>
      </w:r>
      <w:r w:rsidR="009169B6" w:rsidRPr="009014AE">
        <w:rPr>
          <w:rFonts w:cs="Times New Roman"/>
          <w:sz w:val="24"/>
          <w:szCs w:val="24"/>
        </w:rPr>
        <w:t xml:space="preserve"> I</w:t>
      </w:r>
      <w:r w:rsidR="0079452D" w:rsidRPr="009014AE">
        <w:rPr>
          <w:rFonts w:cs="Times New Roman"/>
          <w:sz w:val="24"/>
          <w:szCs w:val="24"/>
        </w:rPr>
        <w:t>nvestors are charged with knowledge of this possibility merely by the fact of having bought shares of stock in a Delaware corporation.</w:t>
      </w:r>
      <w:r w:rsidR="0079452D" w:rsidRPr="009014AE">
        <w:rPr>
          <w:rStyle w:val="FootnoteReference"/>
          <w:rFonts w:cs="Times New Roman"/>
          <w:sz w:val="24"/>
          <w:szCs w:val="24"/>
        </w:rPr>
        <w:footnoteReference w:id="22"/>
      </w:r>
      <w:r w:rsidR="00641714" w:rsidRPr="009014AE">
        <w:rPr>
          <w:rFonts w:cs="Times New Roman"/>
          <w:sz w:val="24"/>
          <w:szCs w:val="24"/>
        </w:rPr>
        <w:t xml:space="preserve"> </w:t>
      </w:r>
      <w:r w:rsidR="005C3539" w:rsidRPr="009014AE">
        <w:rPr>
          <w:rFonts w:cs="Times New Roman"/>
          <w:sz w:val="24"/>
          <w:szCs w:val="24"/>
        </w:rPr>
        <w:t xml:space="preserve"> </w:t>
      </w:r>
      <w:r w:rsidR="00C81558" w:rsidRPr="009014AE">
        <w:rPr>
          <w:rFonts w:cs="Times New Roman"/>
          <w:sz w:val="24"/>
          <w:szCs w:val="24"/>
        </w:rPr>
        <w:t xml:space="preserve">As former Chancellor Strine stated, </w:t>
      </w:r>
      <w:r w:rsidR="00044556">
        <w:rPr>
          <w:rFonts w:cs="Times New Roman"/>
          <w:sz w:val="24"/>
          <w:szCs w:val="24"/>
        </w:rPr>
        <w:t>"</w:t>
      </w:r>
      <w:r w:rsidR="00C81558" w:rsidRPr="009014AE">
        <w:rPr>
          <w:rFonts w:cs="Times New Roman"/>
          <w:sz w:val="24"/>
          <w:szCs w:val="24"/>
        </w:rPr>
        <w:t xml:space="preserve">[S]tockholders </w:t>
      </w:r>
      <w:r w:rsidR="00C81558" w:rsidRPr="009014AE">
        <w:rPr>
          <w:sz w:val="24"/>
          <w:szCs w:val="24"/>
        </w:rPr>
        <w:t>assent to not having to assent to board-adopted bylaws.</w:t>
      </w:r>
      <w:r w:rsidR="00044556">
        <w:rPr>
          <w:sz w:val="24"/>
          <w:szCs w:val="24"/>
        </w:rPr>
        <w:t>"</w:t>
      </w:r>
      <w:r w:rsidR="00C81558" w:rsidRPr="009014AE">
        <w:rPr>
          <w:rStyle w:val="FootnoteReference"/>
          <w:sz w:val="24"/>
          <w:szCs w:val="24"/>
        </w:rPr>
        <w:footnoteReference w:id="23"/>
      </w:r>
    </w:p>
    <w:p w14:paraId="3C77C378" w14:textId="015B219C" w:rsidR="00424526" w:rsidRPr="009014AE" w:rsidRDefault="00424526" w:rsidP="00316553">
      <w:pPr>
        <w:widowControl w:val="0"/>
        <w:spacing w:line="480" w:lineRule="auto"/>
        <w:ind w:firstLine="720"/>
        <w:jc w:val="both"/>
        <w:rPr>
          <w:rFonts w:cs="Times New Roman"/>
          <w:sz w:val="24"/>
          <w:szCs w:val="24"/>
        </w:rPr>
      </w:pPr>
      <w:r w:rsidRPr="009014AE">
        <w:rPr>
          <w:rFonts w:cs="Times New Roman"/>
          <w:sz w:val="24"/>
          <w:szCs w:val="24"/>
        </w:rPr>
        <w:t xml:space="preserve">In </w:t>
      </w:r>
      <w:r w:rsidRPr="009014AE">
        <w:rPr>
          <w:rFonts w:cs="Times New Roman"/>
          <w:i/>
          <w:sz w:val="24"/>
          <w:szCs w:val="24"/>
        </w:rPr>
        <w:t>ATP Tour</w:t>
      </w:r>
      <w:r w:rsidRPr="009014AE">
        <w:rPr>
          <w:rFonts w:cs="Times New Roman"/>
          <w:sz w:val="24"/>
          <w:szCs w:val="24"/>
        </w:rPr>
        <w:t xml:space="preserve">, the Delaware Supreme Court </w:t>
      </w:r>
      <w:r w:rsidR="00390DC3" w:rsidRPr="009014AE">
        <w:rPr>
          <w:rFonts w:cs="Times New Roman"/>
          <w:sz w:val="24"/>
          <w:szCs w:val="24"/>
        </w:rPr>
        <w:t xml:space="preserve">considered fee-shifting bylaws for the first time and concluded that </w:t>
      </w:r>
      <w:r w:rsidRPr="009014AE">
        <w:rPr>
          <w:rFonts w:cs="Times New Roman"/>
          <w:sz w:val="24"/>
          <w:szCs w:val="24"/>
        </w:rPr>
        <w:t>a nonprofit Delaware corporation's bylaw that required an unsuccessful shareholder plaintiff to reimburse the corporation for litigation expenses</w:t>
      </w:r>
      <w:r w:rsidR="004D3981">
        <w:rPr>
          <w:rStyle w:val="FootnoteReference"/>
          <w:rFonts w:cs="Times New Roman"/>
          <w:sz w:val="24"/>
          <w:szCs w:val="24"/>
        </w:rPr>
        <w:footnoteReference w:id="24"/>
      </w:r>
      <w:r w:rsidRPr="009014AE">
        <w:rPr>
          <w:rFonts w:cs="Times New Roman"/>
          <w:sz w:val="24"/>
          <w:szCs w:val="24"/>
        </w:rPr>
        <w:t xml:space="preserve"> was facially valid.</w:t>
      </w:r>
      <w:r w:rsidRPr="009014AE">
        <w:rPr>
          <w:rStyle w:val="FootnoteReference"/>
          <w:rFonts w:cs="Times New Roman"/>
          <w:sz w:val="24"/>
          <w:szCs w:val="24"/>
        </w:rPr>
        <w:footnoteReference w:id="25"/>
      </w:r>
      <w:r w:rsidRPr="009014AE">
        <w:rPr>
          <w:rFonts w:cs="Times New Roman"/>
          <w:sz w:val="24"/>
          <w:szCs w:val="24"/>
        </w:rPr>
        <w:t xml:space="preserve">  The Court noted that the bylaw did not conflict with Delaware law and </w:t>
      </w:r>
      <w:r w:rsidR="00044556">
        <w:rPr>
          <w:rFonts w:cs="Times New Roman"/>
          <w:sz w:val="24"/>
          <w:szCs w:val="24"/>
        </w:rPr>
        <w:t>"</w:t>
      </w:r>
      <w:r w:rsidRPr="009014AE">
        <w:rPr>
          <w:rFonts w:cs="Times New Roman"/>
          <w:sz w:val="24"/>
          <w:szCs w:val="24"/>
        </w:rPr>
        <w:t>relate[d] to the business of the corporation</w:t>
      </w:r>
      <w:r w:rsidR="00044556">
        <w:rPr>
          <w:rFonts w:cs="Times New Roman"/>
          <w:sz w:val="24"/>
          <w:szCs w:val="24"/>
        </w:rPr>
        <w:t>"</w:t>
      </w:r>
      <w:r w:rsidRPr="009014AE">
        <w:rPr>
          <w:rFonts w:cs="Times New Roman"/>
          <w:sz w:val="24"/>
          <w:szCs w:val="24"/>
        </w:rPr>
        <w:t xml:space="preserve"> as required by 8 </w:t>
      </w:r>
      <w:r w:rsidRPr="009014AE">
        <w:rPr>
          <w:rFonts w:cs="Times New Roman"/>
          <w:i/>
          <w:sz w:val="24"/>
          <w:szCs w:val="24"/>
        </w:rPr>
        <w:t>Del. C.</w:t>
      </w:r>
      <w:r w:rsidRPr="009014AE">
        <w:rPr>
          <w:rFonts w:cs="Times New Roman"/>
          <w:sz w:val="24"/>
          <w:szCs w:val="24"/>
        </w:rPr>
        <w:t xml:space="preserve"> § 109(b).</w:t>
      </w:r>
      <w:r w:rsidRPr="009014AE">
        <w:rPr>
          <w:rStyle w:val="FootnoteReference"/>
          <w:rFonts w:cs="Times New Roman"/>
          <w:sz w:val="24"/>
          <w:szCs w:val="24"/>
        </w:rPr>
        <w:footnoteReference w:id="26"/>
      </w:r>
      <w:r w:rsidRPr="009014AE">
        <w:rPr>
          <w:rFonts w:cs="Times New Roman"/>
          <w:sz w:val="24"/>
          <w:szCs w:val="24"/>
        </w:rPr>
        <w:t xml:space="preserve">  In addition, the corporation's charter allowed such a bylaw </w:t>
      </w:r>
      <w:r w:rsidR="00044556">
        <w:rPr>
          <w:rFonts w:cs="Times New Roman"/>
          <w:sz w:val="24"/>
          <w:szCs w:val="24"/>
        </w:rPr>
        <w:t>"</w:t>
      </w:r>
      <w:r w:rsidRPr="009014AE">
        <w:rPr>
          <w:rFonts w:cs="Times New Roman"/>
          <w:sz w:val="24"/>
          <w:szCs w:val="24"/>
        </w:rPr>
        <w:t>implicitly by silence.</w:t>
      </w:r>
      <w:r w:rsidR="00044556">
        <w:rPr>
          <w:rFonts w:cs="Times New Roman"/>
          <w:sz w:val="24"/>
          <w:szCs w:val="24"/>
        </w:rPr>
        <w:t>"</w:t>
      </w:r>
      <w:r w:rsidRPr="009014AE">
        <w:rPr>
          <w:rStyle w:val="FootnoteReference"/>
          <w:rFonts w:cs="Times New Roman"/>
          <w:sz w:val="24"/>
          <w:szCs w:val="24"/>
        </w:rPr>
        <w:footnoteReference w:id="27"/>
      </w:r>
      <w:r w:rsidRPr="009014AE">
        <w:rPr>
          <w:rFonts w:cs="Times New Roman"/>
          <w:sz w:val="24"/>
          <w:szCs w:val="24"/>
        </w:rPr>
        <w:t xml:space="preserve">  Acknowledging </w:t>
      </w:r>
      <w:r w:rsidR="000E509A">
        <w:rPr>
          <w:rFonts w:cs="Times New Roman"/>
          <w:sz w:val="24"/>
          <w:szCs w:val="24"/>
        </w:rPr>
        <w:t>the contractual nature of bylaws</w:t>
      </w:r>
      <w:r w:rsidRPr="009014AE">
        <w:rPr>
          <w:rFonts w:cs="Times New Roman"/>
          <w:sz w:val="24"/>
          <w:szCs w:val="24"/>
        </w:rPr>
        <w:t xml:space="preserve">, the Court noted that the common law allows contracting parties to depart from the usual American Rule and </w:t>
      </w:r>
      <w:r w:rsidR="00C4299A">
        <w:rPr>
          <w:rFonts w:cs="Times New Roman"/>
          <w:sz w:val="24"/>
          <w:szCs w:val="24"/>
        </w:rPr>
        <w:t>opt for</w:t>
      </w:r>
      <w:r w:rsidRPr="009014AE">
        <w:rPr>
          <w:rFonts w:cs="Times New Roman"/>
          <w:sz w:val="24"/>
          <w:szCs w:val="24"/>
        </w:rPr>
        <w:t xml:space="preserve"> a loser-pays approach to litigation expenses.</w:t>
      </w:r>
      <w:r w:rsidRPr="009014AE">
        <w:rPr>
          <w:rStyle w:val="FootnoteReference"/>
          <w:rFonts w:cs="Times New Roman"/>
          <w:sz w:val="24"/>
          <w:szCs w:val="24"/>
        </w:rPr>
        <w:footnoteReference w:id="28"/>
      </w:r>
      <w:r w:rsidRPr="009014AE">
        <w:rPr>
          <w:rFonts w:cs="Times New Roman"/>
          <w:sz w:val="24"/>
          <w:szCs w:val="24"/>
        </w:rPr>
        <w:t xml:space="preserve">  </w:t>
      </w:r>
      <w:r w:rsidR="000E4181">
        <w:rPr>
          <w:rFonts w:cs="Times New Roman"/>
          <w:sz w:val="24"/>
          <w:szCs w:val="24"/>
        </w:rPr>
        <w:t>T</w:t>
      </w:r>
      <w:r w:rsidRPr="009014AE">
        <w:rPr>
          <w:rFonts w:cs="Times New Roman"/>
          <w:sz w:val="24"/>
          <w:szCs w:val="24"/>
        </w:rPr>
        <w:t xml:space="preserve">he Court </w:t>
      </w:r>
      <w:r w:rsidR="000E4181">
        <w:rPr>
          <w:rFonts w:cs="Times New Roman"/>
          <w:sz w:val="24"/>
          <w:szCs w:val="24"/>
        </w:rPr>
        <w:t xml:space="preserve">considered the bylaw in response to </w:t>
      </w:r>
      <w:r w:rsidRPr="009014AE">
        <w:rPr>
          <w:rFonts w:cs="Times New Roman"/>
          <w:sz w:val="24"/>
          <w:szCs w:val="24"/>
        </w:rPr>
        <w:t>certified questions from the District Court for the District of Delaware</w:t>
      </w:r>
      <w:r w:rsidR="000E4181">
        <w:rPr>
          <w:rFonts w:cs="Times New Roman"/>
          <w:sz w:val="24"/>
          <w:szCs w:val="24"/>
        </w:rPr>
        <w:t>.</w:t>
      </w:r>
      <w:r w:rsidRPr="009014AE">
        <w:rPr>
          <w:rStyle w:val="FootnoteReference"/>
          <w:rFonts w:cs="Times New Roman"/>
          <w:sz w:val="24"/>
          <w:szCs w:val="24"/>
        </w:rPr>
        <w:footnoteReference w:id="29"/>
      </w:r>
      <w:r w:rsidRPr="009014AE">
        <w:rPr>
          <w:rFonts w:cs="Times New Roman"/>
          <w:sz w:val="24"/>
          <w:szCs w:val="24"/>
        </w:rPr>
        <w:t xml:space="preserve"> </w:t>
      </w:r>
      <w:r w:rsidR="000E4181">
        <w:rPr>
          <w:rFonts w:cs="Times New Roman"/>
          <w:sz w:val="24"/>
          <w:szCs w:val="24"/>
        </w:rPr>
        <w:t xml:space="preserve"> Accordingly, it did not</w:t>
      </w:r>
      <w:r w:rsidRPr="009014AE">
        <w:rPr>
          <w:rFonts w:cs="Times New Roman"/>
          <w:sz w:val="24"/>
          <w:szCs w:val="24"/>
        </w:rPr>
        <w:t xml:space="preserve"> </w:t>
      </w:r>
      <w:r w:rsidR="00615473">
        <w:rPr>
          <w:rFonts w:cs="Times New Roman"/>
          <w:sz w:val="24"/>
          <w:szCs w:val="24"/>
        </w:rPr>
        <w:t xml:space="preserve">have sufficient facts to </w:t>
      </w:r>
      <w:r w:rsidRPr="009014AE">
        <w:rPr>
          <w:rFonts w:cs="Times New Roman"/>
          <w:sz w:val="24"/>
          <w:szCs w:val="24"/>
        </w:rPr>
        <w:t>address the enforceability of ATP Tour's particular bylaw.</w:t>
      </w:r>
      <w:r w:rsidRPr="009014AE">
        <w:rPr>
          <w:rStyle w:val="FootnoteReference"/>
          <w:rFonts w:cs="Times New Roman"/>
          <w:sz w:val="24"/>
          <w:szCs w:val="24"/>
        </w:rPr>
        <w:footnoteReference w:id="30"/>
      </w:r>
      <w:r w:rsidRPr="009014AE">
        <w:rPr>
          <w:rFonts w:cs="Times New Roman"/>
          <w:sz w:val="24"/>
          <w:szCs w:val="24"/>
        </w:rPr>
        <w:t xml:space="preserve">  The Court emphasized</w:t>
      </w:r>
      <w:r w:rsidR="00B74D91">
        <w:rPr>
          <w:rFonts w:cs="Times New Roman"/>
          <w:sz w:val="24"/>
          <w:szCs w:val="24"/>
        </w:rPr>
        <w:t>, however,</w:t>
      </w:r>
      <w:r w:rsidRPr="009014AE">
        <w:rPr>
          <w:rFonts w:cs="Times New Roman"/>
          <w:sz w:val="24"/>
          <w:szCs w:val="24"/>
        </w:rPr>
        <w:t xml:space="preserve"> that </w:t>
      </w:r>
      <w:r w:rsidR="00044556">
        <w:rPr>
          <w:rFonts w:cs="Times New Roman"/>
          <w:sz w:val="24"/>
          <w:szCs w:val="24"/>
        </w:rPr>
        <w:t>"</w:t>
      </w:r>
      <w:r w:rsidRPr="009014AE">
        <w:rPr>
          <w:rFonts w:cs="Times New Roman"/>
          <w:sz w:val="24"/>
          <w:szCs w:val="24"/>
        </w:rPr>
        <w:t>[l]egally permissible bylaws adopted for an improper purpose are unenforceable in equity</w:t>
      </w:r>
      <w:r w:rsidR="00EA468C">
        <w:rPr>
          <w:rFonts w:cs="Times New Roman"/>
          <w:sz w:val="24"/>
          <w:szCs w:val="24"/>
        </w:rPr>
        <w:t>.</w:t>
      </w:r>
      <w:r w:rsidR="00044556">
        <w:rPr>
          <w:rFonts w:cs="Times New Roman"/>
          <w:sz w:val="24"/>
          <w:szCs w:val="24"/>
        </w:rPr>
        <w:t>"</w:t>
      </w:r>
      <w:r w:rsidRPr="009014AE">
        <w:rPr>
          <w:rStyle w:val="FootnoteReference"/>
          <w:rFonts w:cs="Times New Roman"/>
          <w:sz w:val="24"/>
          <w:szCs w:val="24"/>
        </w:rPr>
        <w:footnoteReference w:id="31"/>
      </w:r>
      <w:r w:rsidRPr="009014AE">
        <w:rPr>
          <w:rFonts w:cs="Times New Roman"/>
          <w:sz w:val="24"/>
          <w:szCs w:val="24"/>
        </w:rPr>
        <w:t xml:space="preserve"> </w:t>
      </w:r>
      <w:r w:rsidR="00EA468C">
        <w:rPr>
          <w:rFonts w:cs="Times New Roman"/>
          <w:sz w:val="24"/>
          <w:szCs w:val="24"/>
        </w:rPr>
        <w:t xml:space="preserve"> </w:t>
      </w:r>
      <w:r w:rsidR="00283DBD">
        <w:rPr>
          <w:rFonts w:cs="Times New Roman"/>
          <w:sz w:val="24"/>
          <w:szCs w:val="24"/>
        </w:rPr>
        <w:t>The Court also</w:t>
      </w:r>
      <w:r w:rsidR="00B74D91">
        <w:rPr>
          <w:rFonts w:cs="Times New Roman"/>
          <w:sz w:val="24"/>
          <w:szCs w:val="24"/>
        </w:rPr>
        <w:t xml:space="preserve"> </w:t>
      </w:r>
      <w:r w:rsidRPr="009014AE">
        <w:rPr>
          <w:rFonts w:cs="Times New Roman"/>
          <w:sz w:val="24"/>
          <w:szCs w:val="24"/>
        </w:rPr>
        <w:t>advised that deterring litigation would not necessarily be an improper purpose.</w:t>
      </w:r>
      <w:r w:rsidRPr="009014AE">
        <w:rPr>
          <w:rStyle w:val="FootnoteReference"/>
          <w:rFonts w:cs="Times New Roman"/>
          <w:sz w:val="24"/>
          <w:szCs w:val="24"/>
        </w:rPr>
        <w:footnoteReference w:id="32"/>
      </w:r>
      <w:r w:rsidRPr="009014AE">
        <w:rPr>
          <w:rFonts w:cs="Times New Roman"/>
          <w:sz w:val="24"/>
          <w:szCs w:val="24"/>
        </w:rPr>
        <w:t xml:space="preserve">  Should the bylaw be enforceable </w:t>
      </w:r>
      <w:r w:rsidR="004D3981">
        <w:rPr>
          <w:rFonts w:cs="Times New Roman"/>
          <w:sz w:val="24"/>
          <w:szCs w:val="24"/>
        </w:rPr>
        <w:t>in</w:t>
      </w:r>
      <w:r w:rsidRPr="009014AE">
        <w:rPr>
          <w:rFonts w:cs="Times New Roman"/>
          <w:sz w:val="24"/>
          <w:szCs w:val="24"/>
        </w:rPr>
        <w:t xml:space="preserve"> equity, the Court noted that it would likewise be enforceable against shareholders who purchased their shares prior to the adoption of the amendment.</w:t>
      </w:r>
      <w:r w:rsidRPr="009014AE">
        <w:rPr>
          <w:rStyle w:val="FootnoteReference"/>
          <w:rFonts w:cs="Times New Roman"/>
          <w:sz w:val="24"/>
          <w:szCs w:val="24"/>
        </w:rPr>
        <w:footnoteReference w:id="33"/>
      </w:r>
    </w:p>
    <w:p w14:paraId="59929BCC" w14:textId="1A49853A" w:rsidR="00424526" w:rsidRPr="009014AE" w:rsidRDefault="00424526" w:rsidP="00316553">
      <w:pPr>
        <w:widowControl w:val="0"/>
        <w:spacing w:line="480" w:lineRule="auto"/>
        <w:ind w:firstLine="720"/>
        <w:jc w:val="both"/>
        <w:rPr>
          <w:rFonts w:cs="Times New Roman"/>
          <w:sz w:val="24"/>
          <w:szCs w:val="24"/>
        </w:rPr>
      </w:pPr>
      <w:r w:rsidRPr="009014AE">
        <w:rPr>
          <w:rFonts w:cs="Times New Roman"/>
          <w:sz w:val="24"/>
          <w:szCs w:val="24"/>
        </w:rPr>
        <w:t xml:space="preserve">In response to </w:t>
      </w:r>
      <w:r w:rsidRPr="009014AE">
        <w:rPr>
          <w:rFonts w:cs="Times New Roman"/>
          <w:i/>
          <w:sz w:val="24"/>
          <w:szCs w:val="24"/>
        </w:rPr>
        <w:t>ATP Tour</w:t>
      </w:r>
      <w:r w:rsidRPr="009014AE">
        <w:rPr>
          <w:rFonts w:cs="Times New Roman"/>
          <w:sz w:val="24"/>
          <w:szCs w:val="24"/>
        </w:rPr>
        <w:t xml:space="preserve">, </w:t>
      </w:r>
      <w:r w:rsidR="00F3658C">
        <w:rPr>
          <w:rFonts w:cs="Times New Roman"/>
          <w:sz w:val="24"/>
          <w:szCs w:val="24"/>
        </w:rPr>
        <w:t xml:space="preserve">in 2014 </w:t>
      </w:r>
      <w:r w:rsidRPr="009014AE">
        <w:rPr>
          <w:rFonts w:cs="Times New Roman"/>
          <w:sz w:val="24"/>
          <w:szCs w:val="24"/>
        </w:rPr>
        <w:t>the Delaware General Assembly (</w:t>
      </w:r>
      <w:r w:rsidR="00044556">
        <w:rPr>
          <w:rFonts w:cs="Times New Roman"/>
          <w:sz w:val="24"/>
          <w:szCs w:val="24"/>
        </w:rPr>
        <w:t>"</w:t>
      </w:r>
      <w:r w:rsidRPr="009014AE">
        <w:rPr>
          <w:rFonts w:cs="Times New Roman"/>
          <w:sz w:val="24"/>
          <w:szCs w:val="24"/>
        </w:rPr>
        <w:t>DGA</w:t>
      </w:r>
      <w:r w:rsidR="00044556">
        <w:rPr>
          <w:rFonts w:cs="Times New Roman"/>
          <w:sz w:val="24"/>
          <w:szCs w:val="24"/>
        </w:rPr>
        <w:t>"</w:t>
      </w:r>
      <w:r w:rsidRPr="009014AE">
        <w:rPr>
          <w:rFonts w:cs="Times New Roman"/>
          <w:sz w:val="24"/>
          <w:szCs w:val="24"/>
        </w:rPr>
        <w:t xml:space="preserve">) considered an amendment to the </w:t>
      </w:r>
      <w:r w:rsidR="00527BCB">
        <w:rPr>
          <w:rFonts w:cs="Times New Roman"/>
          <w:sz w:val="24"/>
          <w:szCs w:val="24"/>
        </w:rPr>
        <w:t>DGCL</w:t>
      </w:r>
      <w:r w:rsidRPr="009014AE">
        <w:rPr>
          <w:rFonts w:cs="Times New Roman"/>
          <w:sz w:val="24"/>
          <w:szCs w:val="24"/>
        </w:rPr>
        <w:t xml:space="preserve"> that would limit </w:t>
      </w:r>
      <w:r w:rsidRPr="009014AE">
        <w:rPr>
          <w:rFonts w:cs="Times New Roman"/>
          <w:i/>
          <w:sz w:val="24"/>
          <w:szCs w:val="24"/>
        </w:rPr>
        <w:t>ATP Tour</w:t>
      </w:r>
      <w:r w:rsidRPr="009014AE">
        <w:rPr>
          <w:rFonts w:cs="Times New Roman"/>
          <w:sz w:val="24"/>
          <w:szCs w:val="24"/>
        </w:rPr>
        <w:t xml:space="preserve">'s </w:t>
      </w:r>
      <w:r w:rsidR="00F770DB">
        <w:rPr>
          <w:rFonts w:cs="Times New Roman"/>
          <w:sz w:val="24"/>
          <w:szCs w:val="24"/>
        </w:rPr>
        <w:t>holding</w:t>
      </w:r>
      <w:r w:rsidRPr="009014AE">
        <w:rPr>
          <w:rFonts w:cs="Times New Roman"/>
          <w:sz w:val="24"/>
          <w:szCs w:val="24"/>
        </w:rPr>
        <w:t xml:space="preserve"> to nonprofit corporations.</w:t>
      </w:r>
      <w:r w:rsidRPr="009014AE">
        <w:rPr>
          <w:rStyle w:val="FootnoteReference"/>
          <w:rFonts w:cs="Times New Roman"/>
          <w:sz w:val="24"/>
          <w:szCs w:val="24"/>
        </w:rPr>
        <w:footnoteReference w:id="34"/>
      </w:r>
      <w:r w:rsidRPr="009014AE">
        <w:rPr>
          <w:rFonts w:cs="Times New Roman"/>
          <w:sz w:val="24"/>
          <w:szCs w:val="24"/>
        </w:rPr>
        <w:t xml:space="preserve">  However, </w:t>
      </w:r>
      <w:r w:rsidR="00C95D21">
        <w:rPr>
          <w:rFonts w:cs="Times New Roman"/>
          <w:sz w:val="24"/>
          <w:szCs w:val="24"/>
        </w:rPr>
        <w:t xml:space="preserve">some members of </w:t>
      </w:r>
      <w:r w:rsidR="00830171">
        <w:rPr>
          <w:rFonts w:cs="Times New Roman"/>
          <w:sz w:val="24"/>
          <w:szCs w:val="24"/>
        </w:rPr>
        <w:t>the business community</w:t>
      </w:r>
      <w:r w:rsidRPr="009014AE">
        <w:rPr>
          <w:rFonts w:cs="Times New Roman"/>
          <w:sz w:val="24"/>
          <w:szCs w:val="24"/>
        </w:rPr>
        <w:t xml:space="preserve"> mounted vocal opposition to the amendment.</w:t>
      </w:r>
      <w:r w:rsidRPr="009014AE">
        <w:rPr>
          <w:rStyle w:val="FootnoteReference"/>
          <w:rFonts w:cs="Times New Roman"/>
          <w:sz w:val="24"/>
          <w:szCs w:val="24"/>
        </w:rPr>
        <w:footnoteReference w:id="35"/>
      </w:r>
      <w:r w:rsidRPr="009014AE">
        <w:rPr>
          <w:rFonts w:cs="Times New Roman"/>
          <w:sz w:val="24"/>
          <w:szCs w:val="24"/>
        </w:rPr>
        <w:t xml:space="preserve">  </w:t>
      </w:r>
      <w:r w:rsidR="00E95898">
        <w:rPr>
          <w:rFonts w:cs="Times New Roman"/>
          <w:sz w:val="24"/>
          <w:szCs w:val="24"/>
        </w:rPr>
        <w:t>T</w:t>
      </w:r>
      <w:r w:rsidRPr="009014AE">
        <w:rPr>
          <w:rFonts w:cs="Times New Roman"/>
          <w:sz w:val="24"/>
          <w:szCs w:val="24"/>
        </w:rPr>
        <w:t>he DGA shelved the proposed amendment and resume</w:t>
      </w:r>
      <w:r w:rsidR="00C63A36">
        <w:rPr>
          <w:rFonts w:cs="Times New Roman"/>
          <w:sz w:val="24"/>
          <w:szCs w:val="24"/>
        </w:rPr>
        <w:t>d</w:t>
      </w:r>
      <w:r w:rsidRPr="009014AE">
        <w:rPr>
          <w:rFonts w:cs="Times New Roman"/>
          <w:sz w:val="24"/>
          <w:szCs w:val="24"/>
        </w:rPr>
        <w:t xml:space="preserve"> debate on a potential response to the Court's opinion in January 2015.</w:t>
      </w:r>
      <w:r w:rsidRPr="009014AE">
        <w:rPr>
          <w:rStyle w:val="FootnoteReference"/>
          <w:rFonts w:cs="Times New Roman"/>
          <w:sz w:val="24"/>
          <w:szCs w:val="24"/>
        </w:rPr>
        <w:footnoteReference w:id="36"/>
      </w:r>
      <w:r w:rsidRPr="009014AE">
        <w:rPr>
          <w:rFonts w:cs="Times New Roman"/>
          <w:sz w:val="24"/>
          <w:szCs w:val="24"/>
        </w:rPr>
        <w:t xml:space="preserve">  </w:t>
      </w:r>
      <w:r w:rsidR="00891754">
        <w:rPr>
          <w:rFonts w:cs="Times New Roman"/>
          <w:sz w:val="24"/>
          <w:szCs w:val="24"/>
        </w:rPr>
        <w:t xml:space="preserve">After revisiting the issue, the Corporation Law Section of the Delaware State Bar Association </w:t>
      </w:r>
      <w:r w:rsidR="006C5E9B">
        <w:rPr>
          <w:rFonts w:cs="Times New Roman"/>
          <w:sz w:val="24"/>
          <w:szCs w:val="24"/>
        </w:rPr>
        <w:t xml:space="preserve">crafted an amendment that </w:t>
      </w:r>
      <w:r w:rsidR="006F1EA0">
        <w:rPr>
          <w:rFonts w:cs="Times New Roman"/>
          <w:sz w:val="24"/>
          <w:szCs w:val="24"/>
        </w:rPr>
        <w:t xml:space="preserve">would bar corporations from </w:t>
      </w:r>
      <w:r w:rsidR="00F80FA7">
        <w:rPr>
          <w:rFonts w:cs="Times New Roman"/>
          <w:sz w:val="24"/>
          <w:szCs w:val="24"/>
        </w:rPr>
        <w:t xml:space="preserve">including provisions in their bylaws or certificate of incorporation </w:t>
      </w:r>
      <w:r w:rsidR="002B22B3">
        <w:rPr>
          <w:rFonts w:cs="Times New Roman"/>
          <w:sz w:val="24"/>
          <w:szCs w:val="24"/>
        </w:rPr>
        <w:t>imposing</w:t>
      </w:r>
      <w:r w:rsidR="00FE13D7">
        <w:rPr>
          <w:rFonts w:cs="Times New Roman"/>
          <w:sz w:val="24"/>
          <w:szCs w:val="24"/>
        </w:rPr>
        <w:t xml:space="preserve"> liability on stockholders for the corporation’s expenses arising from intracorporate litigation.</w:t>
      </w:r>
      <w:r w:rsidR="00951E69">
        <w:rPr>
          <w:rStyle w:val="FootnoteReference"/>
          <w:rFonts w:cs="Times New Roman"/>
          <w:sz w:val="24"/>
          <w:szCs w:val="24"/>
        </w:rPr>
        <w:footnoteReference w:id="37"/>
      </w:r>
      <w:r w:rsidR="003E4208">
        <w:rPr>
          <w:rFonts w:cs="Times New Roman"/>
          <w:sz w:val="24"/>
          <w:szCs w:val="24"/>
        </w:rPr>
        <w:t xml:space="preserve">  </w:t>
      </w:r>
      <w:r w:rsidR="00D42809">
        <w:rPr>
          <w:rFonts w:cs="Times New Roman"/>
          <w:sz w:val="24"/>
          <w:szCs w:val="24"/>
        </w:rPr>
        <w:t>The proposed legislation also includes</w:t>
      </w:r>
      <w:r w:rsidR="008D5E30">
        <w:rPr>
          <w:rFonts w:cs="Times New Roman"/>
          <w:sz w:val="24"/>
          <w:szCs w:val="24"/>
        </w:rPr>
        <w:t xml:space="preserve"> an amendment allowing forum selection </w:t>
      </w:r>
      <w:r w:rsidR="00A35F71">
        <w:rPr>
          <w:rFonts w:cs="Times New Roman"/>
          <w:sz w:val="24"/>
          <w:szCs w:val="24"/>
        </w:rPr>
        <w:t>provisions</w:t>
      </w:r>
      <w:r w:rsidR="00D76D92">
        <w:rPr>
          <w:rFonts w:cs="Times New Roman"/>
          <w:sz w:val="24"/>
          <w:szCs w:val="24"/>
        </w:rPr>
        <w:t>.</w:t>
      </w:r>
      <w:r w:rsidR="0056045D">
        <w:rPr>
          <w:rStyle w:val="FootnoteReference"/>
          <w:rFonts w:cs="Times New Roman"/>
          <w:sz w:val="24"/>
          <w:szCs w:val="24"/>
        </w:rPr>
        <w:footnoteReference w:id="38"/>
      </w:r>
      <w:r w:rsidR="00740BEA">
        <w:rPr>
          <w:rFonts w:cs="Times New Roman"/>
          <w:sz w:val="24"/>
          <w:szCs w:val="24"/>
        </w:rPr>
        <w:t xml:space="preserve">  </w:t>
      </w:r>
      <w:r w:rsidR="003802A6">
        <w:rPr>
          <w:rFonts w:cs="Times New Roman"/>
          <w:sz w:val="24"/>
          <w:szCs w:val="24"/>
        </w:rPr>
        <w:t xml:space="preserve">The </w:t>
      </w:r>
      <w:r w:rsidR="00FD045F">
        <w:rPr>
          <w:rFonts w:cs="Times New Roman"/>
          <w:sz w:val="24"/>
          <w:szCs w:val="24"/>
        </w:rPr>
        <w:t xml:space="preserve">Delaware State Senate passed the amendment by a 16 to five vote on </w:t>
      </w:r>
      <w:r w:rsidR="009252EE">
        <w:rPr>
          <w:rFonts w:cs="Times New Roman"/>
          <w:sz w:val="24"/>
          <w:szCs w:val="24"/>
        </w:rPr>
        <w:t>May 12, 2015.  T</w:t>
      </w:r>
      <w:r w:rsidR="00832A69">
        <w:rPr>
          <w:rFonts w:cs="Times New Roman"/>
          <w:sz w:val="24"/>
          <w:szCs w:val="24"/>
        </w:rPr>
        <w:t xml:space="preserve">he </w:t>
      </w:r>
      <w:r w:rsidR="00060C5F">
        <w:rPr>
          <w:rFonts w:cs="Times New Roman"/>
          <w:sz w:val="24"/>
          <w:szCs w:val="24"/>
        </w:rPr>
        <w:t xml:space="preserve">Delaware </w:t>
      </w:r>
      <w:r w:rsidR="00832A69">
        <w:rPr>
          <w:rFonts w:cs="Times New Roman"/>
          <w:sz w:val="24"/>
          <w:szCs w:val="24"/>
        </w:rPr>
        <w:t>House</w:t>
      </w:r>
      <w:r w:rsidR="00060C5F">
        <w:rPr>
          <w:rFonts w:cs="Times New Roman"/>
          <w:sz w:val="24"/>
          <w:szCs w:val="24"/>
        </w:rPr>
        <w:t xml:space="preserve"> of Representatives</w:t>
      </w:r>
      <w:r w:rsidR="00832A69">
        <w:rPr>
          <w:rFonts w:cs="Times New Roman"/>
          <w:sz w:val="24"/>
          <w:szCs w:val="24"/>
        </w:rPr>
        <w:t xml:space="preserve"> is expected to vote on it in early June.</w:t>
      </w:r>
    </w:p>
    <w:p w14:paraId="5CF1C0F8" w14:textId="0D95E023" w:rsidR="00503368" w:rsidRDefault="004643D5" w:rsidP="00316553">
      <w:pPr>
        <w:widowControl w:val="0"/>
        <w:spacing w:line="480" w:lineRule="auto"/>
        <w:jc w:val="both"/>
        <w:rPr>
          <w:rFonts w:cs="Times New Roman"/>
          <w:sz w:val="24"/>
          <w:szCs w:val="24"/>
        </w:rPr>
      </w:pPr>
      <w:r w:rsidRPr="009014AE">
        <w:rPr>
          <w:rFonts w:cs="Times New Roman"/>
          <w:sz w:val="24"/>
          <w:szCs w:val="24"/>
        </w:rPr>
        <w:tab/>
      </w:r>
      <w:r w:rsidR="00113E4D">
        <w:rPr>
          <w:rFonts w:cs="Times New Roman"/>
          <w:sz w:val="24"/>
          <w:szCs w:val="24"/>
        </w:rPr>
        <w:t>In the meantime, c</w:t>
      </w:r>
      <w:r w:rsidR="006C1BFA" w:rsidRPr="009014AE">
        <w:rPr>
          <w:rFonts w:cs="Times New Roman"/>
          <w:sz w:val="24"/>
          <w:szCs w:val="24"/>
        </w:rPr>
        <w:t xml:space="preserve">orporate boards </w:t>
      </w:r>
      <w:r w:rsidR="006F5607" w:rsidRPr="009014AE">
        <w:rPr>
          <w:rFonts w:cs="Times New Roman"/>
          <w:sz w:val="24"/>
          <w:szCs w:val="24"/>
        </w:rPr>
        <w:t>have taken</w:t>
      </w:r>
      <w:r w:rsidR="006C1BFA" w:rsidRPr="009014AE">
        <w:rPr>
          <w:rFonts w:cs="Times New Roman"/>
          <w:sz w:val="24"/>
          <w:szCs w:val="24"/>
        </w:rPr>
        <w:t xml:space="preserve"> notice of the Court's </w:t>
      </w:r>
      <w:r w:rsidR="006F5607" w:rsidRPr="009014AE">
        <w:rPr>
          <w:rFonts w:cs="Times New Roman"/>
          <w:sz w:val="24"/>
          <w:szCs w:val="24"/>
        </w:rPr>
        <w:t xml:space="preserve">apparent </w:t>
      </w:r>
      <w:r w:rsidR="006C1BFA" w:rsidRPr="009014AE">
        <w:rPr>
          <w:rFonts w:cs="Times New Roman"/>
          <w:sz w:val="24"/>
          <w:szCs w:val="24"/>
        </w:rPr>
        <w:t xml:space="preserve">endorsement of </w:t>
      </w:r>
      <w:r w:rsidR="00E51A69" w:rsidRPr="009014AE">
        <w:rPr>
          <w:rFonts w:cs="Times New Roman"/>
          <w:sz w:val="24"/>
          <w:szCs w:val="24"/>
        </w:rPr>
        <w:t>fee-shifting bylaws</w:t>
      </w:r>
      <w:r w:rsidR="00A5682B" w:rsidRPr="009014AE">
        <w:rPr>
          <w:rFonts w:cs="Times New Roman"/>
          <w:sz w:val="24"/>
          <w:szCs w:val="24"/>
        </w:rPr>
        <w:t xml:space="preserve">, </w:t>
      </w:r>
      <w:r w:rsidR="00C304F0">
        <w:rPr>
          <w:rFonts w:cs="Times New Roman"/>
          <w:sz w:val="24"/>
          <w:szCs w:val="24"/>
        </w:rPr>
        <w:t>with</w:t>
      </w:r>
      <w:r w:rsidR="00A5682B" w:rsidRPr="009014AE">
        <w:rPr>
          <w:rFonts w:cs="Times New Roman"/>
          <w:sz w:val="24"/>
          <w:szCs w:val="24"/>
        </w:rPr>
        <w:t xml:space="preserve"> </w:t>
      </w:r>
      <w:r w:rsidR="00107BEE">
        <w:rPr>
          <w:rFonts w:cs="Times New Roman"/>
          <w:sz w:val="24"/>
          <w:szCs w:val="24"/>
        </w:rPr>
        <w:t>a handful</w:t>
      </w:r>
      <w:r w:rsidR="00A5682B" w:rsidRPr="009014AE">
        <w:rPr>
          <w:rFonts w:cs="Times New Roman"/>
          <w:sz w:val="24"/>
          <w:szCs w:val="24"/>
        </w:rPr>
        <w:t xml:space="preserve"> </w:t>
      </w:r>
      <w:r w:rsidR="00C304F0">
        <w:rPr>
          <w:rFonts w:cs="Times New Roman"/>
          <w:sz w:val="24"/>
          <w:szCs w:val="24"/>
        </w:rPr>
        <w:t>adopting</w:t>
      </w:r>
      <w:r w:rsidR="00A5682B" w:rsidRPr="009014AE">
        <w:rPr>
          <w:rFonts w:cs="Times New Roman"/>
          <w:sz w:val="24"/>
          <w:szCs w:val="24"/>
        </w:rPr>
        <w:t xml:space="preserve"> provisions</w:t>
      </w:r>
      <w:r w:rsidR="000200AC" w:rsidRPr="009014AE">
        <w:rPr>
          <w:rFonts w:cs="Times New Roman"/>
          <w:sz w:val="24"/>
          <w:szCs w:val="24"/>
        </w:rPr>
        <w:t xml:space="preserve"> </w:t>
      </w:r>
      <w:r w:rsidR="00534DE6" w:rsidRPr="009014AE">
        <w:rPr>
          <w:rFonts w:cs="Times New Roman"/>
          <w:sz w:val="24"/>
          <w:szCs w:val="24"/>
        </w:rPr>
        <w:t xml:space="preserve">similar </w:t>
      </w:r>
      <w:r w:rsidR="000200AC" w:rsidRPr="009014AE">
        <w:rPr>
          <w:rFonts w:cs="Times New Roman"/>
          <w:sz w:val="24"/>
          <w:szCs w:val="24"/>
        </w:rPr>
        <w:t>to those held facially valid</w:t>
      </w:r>
      <w:r w:rsidR="00D27585">
        <w:rPr>
          <w:rFonts w:cs="Times New Roman"/>
          <w:sz w:val="24"/>
          <w:szCs w:val="24"/>
        </w:rPr>
        <w:t xml:space="preserve"> in </w:t>
      </w:r>
      <w:r w:rsidR="00D27585">
        <w:rPr>
          <w:rFonts w:cs="Times New Roman"/>
          <w:i/>
          <w:sz w:val="24"/>
          <w:szCs w:val="24"/>
        </w:rPr>
        <w:t>ATP Tour</w:t>
      </w:r>
      <w:r w:rsidR="00A5682B" w:rsidRPr="009014AE">
        <w:rPr>
          <w:rFonts w:cs="Times New Roman"/>
          <w:sz w:val="24"/>
          <w:szCs w:val="24"/>
        </w:rPr>
        <w:t>.</w:t>
      </w:r>
      <w:r w:rsidR="005D5CEC" w:rsidRPr="009014AE">
        <w:rPr>
          <w:rStyle w:val="FootnoteReference"/>
          <w:rFonts w:cs="Times New Roman"/>
          <w:sz w:val="24"/>
          <w:szCs w:val="24"/>
        </w:rPr>
        <w:footnoteReference w:id="39"/>
      </w:r>
      <w:r w:rsidR="0089503F" w:rsidRPr="009014AE">
        <w:rPr>
          <w:rFonts w:cs="Times New Roman"/>
          <w:sz w:val="24"/>
          <w:szCs w:val="24"/>
        </w:rPr>
        <w:t xml:space="preserve">  </w:t>
      </w:r>
      <w:r w:rsidR="00BA2D02">
        <w:rPr>
          <w:rFonts w:cs="Times New Roman"/>
          <w:sz w:val="24"/>
          <w:szCs w:val="24"/>
        </w:rPr>
        <w:t>Other</w:t>
      </w:r>
      <w:r w:rsidR="00C9177D" w:rsidRPr="009014AE">
        <w:rPr>
          <w:rFonts w:cs="Times New Roman"/>
          <w:sz w:val="24"/>
          <w:szCs w:val="24"/>
        </w:rPr>
        <w:t xml:space="preserve"> </w:t>
      </w:r>
      <w:r w:rsidR="007223DA" w:rsidRPr="009014AE">
        <w:rPr>
          <w:rFonts w:cs="Times New Roman"/>
          <w:sz w:val="24"/>
          <w:szCs w:val="24"/>
        </w:rPr>
        <w:t xml:space="preserve">corporations </w:t>
      </w:r>
      <w:r w:rsidR="008E523D">
        <w:rPr>
          <w:rFonts w:cs="Times New Roman"/>
          <w:sz w:val="24"/>
          <w:szCs w:val="24"/>
        </w:rPr>
        <w:t>have</w:t>
      </w:r>
      <w:r w:rsidR="007223DA" w:rsidRPr="009014AE">
        <w:rPr>
          <w:rFonts w:cs="Times New Roman"/>
          <w:sz w:val="24"/>
          <w:szCs w:val="24"/>
        </w:rPr>
        <w:t xml:space="preserve"> </w:t>
      </w:r>
      <w:r w:rsidR="008E523D">
        <w:rPr>
          <w:rFonts w:cs="Times New Roman"/>
          <w:sz w:val="24"/>
          <w:szCs w:val="24"/>
        </w:rPr>
        <w:t>quietly adopted</w:t>
      </w:r>
      <w:r w:rsidR="00C21AD4" w:rsidRPr="009014AE">
        <w:rPr>
          <w:rFonts w:cs="Times New Roman"/>
          <w:sz w:val="24"/>
          <w:szCs w:val="24"/>
        </w:rPr>
        <w:t xml:space="preserve"> a fee-shifting </w:t>
      </w:r>
      <w:r w:rsidR="007A7215">
        <w:rPr>
          <w:rFonts w:cs="Times New Roman"/>
          <w:sz w:val="24"/>
          <w:szCs w:val="24"/>
        </w:rPr>
        <w:t>provision</w:t>
      </w:r>
      <w:r w:rsidR="00C21AD4" w:rsidRPr="009014AE">
        <w:rPr>
          <w:rFonts w:cs="Times New Roman"/>
          <w:sz w:val="24"/>
          <w:szCs w:val="24"/>
        </w:rPr>
        <w:t xml:space="preserve"> before </w:t>
      </w:r>
      <w:r w:rsidR="00694F7E">
        <w:rPr>
          <w:rFonts w:cs="Times New Roman"/>
          <w:sz w:val="24"/>
          <w:szCs w:val="24"/>
        </w:rPr>
        <w:t>an</w:t>
      </w:r>
      <w:r w:rsidR="00C21AD4" w:rsidRPr="009014AE">
        <w:rPr>
          <w:rFonts w:cs="Times New Roman"/>
          <w:sz w:val="24"/>
          <w:szCs w:val="24"/>
        </w:rPr>
        <w:t xml:space="preserve"> initial public offering.</w:t>
      </w:r>
      <w:r w:rsidR="00C81EFA" w:rsidRPr="009014AE">
        <w:rPr>
          <w:rStyle w:val="FootnoteReference"/>
          <w:rFonts w:cs="Times New Roman"/>
          <w:sz w:val="24"/>
          <w:szCs w:val="24"/>
        </w:rPr>
        <w:footnoteReference w:id="40"/>
      </w:r>
      <w:r w:rsidR="00812CD7" w:rsidRPr="009014AE">
        <w:rPr>
          <w:rFonts w:cs="Times New Roman"/>
          <w:sz w:val="24"/>
          <w:szCs w:val="24"/>
        </w:rPr>
        <w:t xml:space="preserve">  </w:t>
      </w:r>
    </w:p>
    <w:p w14:paraId="5362AD54" w14:textId="6B096116" w:rsidR="005144DF" w:rsidRDefault="00812CD7" w:rsidP="00503368">
      <w:pPr>
        <w:widowControl w:val="0"/>
        <w:spacing w:line="480" w:lineRule="auto"/>
        <w:ind w:firstLine="720"/>
        <w:jc w:val="both"/>
        <w:rPr>
          <w:rFonts w:cs="Times New Roman"/>
          <w:sz w:val="24"/>
          <w:szCs w:val="24"/>
        </w:rPr>
      </w:pPr>
      <w:r w:rsidRPr="009014AE">
        <w:rPr>
          <w:rFonts w:cs="Times New Roman"/>
          <w:sz w:val="24"/>
          <w:szCs w:val="24"/>
        </w:rPr>
        <w:t xml:space="preserve">The first challenges to </w:t>
      </w:r>
      <w:r w:rsidR="00503368">
        <w:rPr>
          <w:rFonts w:cs="Times New Roman"/>
          <w:sz w:val="24"/>
          <w:szCs w:val="24"/>
        </w:rPr>
        <w:t>fee-shifting</w:t>
      </w:r>
      <w:r w:rsidRPr="009014AE">
        <w:rPr>
          <w:rFonts w:cs="Times New Roman"/>
          <w:sz w:val="24"/>
          <w:szCs w:val="24"/>
        </w:rPr>
        <w:t xml:space="preserve"> bylaws </w:t>
      </w:r>
      <w:r w:rsidR="00527601">
        <w:rPr>
          <w:rFonts w:cs="Times New Roman"/>
          <w:sz w:val="24"/>
          <w:szCs w:val="24"/>
        </w:rPr>
        <w:t>have begun trickling in</w:t>
      </w:r>
      <w:r w:rsidRPr="009014AE">
        <w:rPr>
          <w:rFonts w:cs="Times New Roman"/>
          <w:sz w:val="24"/>
          <w:szCs w:val="24"/>
        </w:rPr>
        <w:t xml:space="preserve">to the Court of Chancery.  </w:t>
      </w:r>
      <w:r w:rsidR="00FC74F7" w:rsidRPr="009014AE">
        <w:rPr>
          <w:rFonts w:cs="Times New Roman"/>
          <w:sz w:val="24"/>
          <w:szCs w:val="24"/>
        </w:rPr>
        <w:t xml:space="preserve">The first major </w:t>
      </w:r>
      <w:r w:rsidR="001A78F5" w:rsidRPr="009014AE">
        <w:rPr>
          <w:rFonts w:cs="Times New Roman"/>
          <w:sz w:val="24"/>
          <w:szCs w:val="24"/>
        </w:rPr>
        <w:t xml:space="preserve">issue arose </w:t>
      </w:r>
      <w:r w:rsidR="005B0CF9">
        <w:rPr>
          <w:rFonts w:cs="Times New Roman"/>
          <w:sz w:val="24"/>
          <w:szCs w:val="24"/>
        </w:rPr>
        <w:t>when</w:t>
      </w:r>
      <w:r w:rsidR="002D4E55">
        <w:rPr>
          <w:rFonts w:cs="Times New Roman"/>
          <w:sz w:val="24"/>
          <w:szCs w:val="24"/>
        </w:rPr>
        <w:t xml:space="preserve"> the </w:t>
      </w:r>
      <w:r w:rsidR="00C526AE">
        <w:rPr>
          <w:rFonts w:cs="Times New Roman"/>
          <w:sz w:val="24"/>
          <w:szCs w:val="24"/>
        </w:rPr>
        <w:t>board of</w:t>
      </w:r>
      <w:r w:rsidR="002D4E55">
        <w:rPr>
          <w:rFonts w:cs="Times New Roman"/>
          <w:sz w:val="24"/>
          <w:szCs w:val="24"/>
        </w:rPr>
        <w:t xml:space="preserve"> Hemispherx Biopharma, Inc., </w:t>
      </w:r>
      <w:r w:rsidR="00FD15B6">
        <w:rPr>
          <w:rFonts w:cs="Times New Roman"/>
          <w:sz w:val="24"/>
          <w:szCs w:val="24"/>
        </w:rPr>
        <w:t>(</w:t>
      </w:r>
      <w:r w:rsidR="00044556">
        <w:rPr>
          <w:rFonts w:cs="Times New Roman"/>
          <w:sz w:val="24"/>
          <w:szCs w:val="24"/>
        </w:rPr>
        <w:t>"</w:t>
      </w:r>
      <w:r w:rsidR="00FD15B6">
        <w:rPr>
          <w:rFonts w:cs="Times New Roman"/>
          <w:sz w:val="24"/>
          <w:szCs w:val="24"/>
        </w:rPr>
        <w:t>Hemispherx</w:t>
      </w:r>
      <w:r w:rsidR="00044556">
        <w:rPr>
          <w:rFonts w:cs="Times New Roman"/>
          <w:sz w:val="24"/>
          <w:szCs w:val="24"/>
        </w:rPr>
        <w:t>"</w:t>
      </w:r>
      <w:r w:rsidR="00FD15B6">
        <w:rPr>
          <w:rFonts w:cs="Times New Roman"/>
          <w:sz w:val="24"/>
          <w:szCs w:val="24"/>
        </w:rPr>
        <w:t>)</w:t>
      </w:r>
      <w:r w:rsidR="00527601">
        <w:rPr>
          <w:rFonts w:cs="Times New Roman"/>
          <w:sz w:val="24"/>
          <w:szCs w:val="24"/>
        </w:rPr>
        <w:t>,</w:t>
      </w:r>
      <w:r w:rsidR="00FD15B6">
        <w:rPr>
          <w:rFonts w:cs="Times New Roman"/>
          <w:sz w:val="24"/>
          <w:szCs w:val="24"/>
        </w:rPr>
        <w:t xml:space="preserve"> </w:t>
      </w:r>
      <w:r w:rsidR="00527601">
        <w:rPr>
          <w:rFonts w:cs="Times New Roman"/>
          <w:sz w:val="24"/>
          <w:szCs w:val="24"/>
        </w:rPr>
        <w:t>while</w:t>
      </w:r>
      <w:r w:rsidR="005B0CF9">
        <w:rPr>
          <w:rFonts w:cs="Times New Roman"/>
          <w:sz w:val="24"/>
          <w:szCs w:val="24"/>
        </w:rPr>
        <w:t xml:space="preserve"> defending a derivative challenge to </w:t>
      </w:r>
      <w:r w:rsidR="00B33855">
        <w:rPr>
          <w:rFonts w:cs="Times New Roman"/>
          <w:sz w:val="24"/>
          <w:szCs w:val="24"/>
        </w:rPr>
        <w:t xml:space="preserve">$2.5 million in </w:t>
      </w:r>
      <w:r w:rsidR="00813D95">
        <w:rPr>
          <w:rFonts w:cs="Times New Roman"/>
          <w:sz w:val="24"/>
          <w:szCs w:val="24"/>
        </w:rPr>
        <w:t>executive bonuses, adopted a fee-shifting bylaw just over one year into the litigation.</w:t>
      </w:r>
      <w:r w:rsidR="00611B48">
        <w:rPr>
          <w:rStyle w:val="FootnoteReference"/>
          <w:rFonts w:cs="Times New Roman"/>
          <w:sz w:val="24"/>
          <w:szCs w:val="24"/>
        </w:rPr>
        <w:footnoteReference w:id="41"/>
      </w:r>
      <w:r w:rsidR="00813D95">
        <w:rPr>
          <w:rFonts w:cs="Times New Roman"/>
          <w:sz w:val="24"/>
          <w:szCs w:val="24"/>
        </w:rPr>
        <w:t xml:space="preserve">  </w:t>
      </w:r>
      <w:r w:rsidR="00DD6316">
        <w:rPr>
          <w:rFonts w:cs="Times New Roman"/>
          <w:sz w:val="24"/>
          <w:szCs w:val="24"/>
        </w:rPr>
        <w:t xml:space="preserve">This bylaw </w:t>
      </w:r>
      <w:r w:rsidR="00BC5F14">
        <w:rPr>
          <w:rFonts w:cs="Times New Roman"/>
          <w:sz w:val="24"/>
          <w:szCs w:val="24"/>
        </w:rPr>
        <w:t xml:space="preserve">was retroactive in that it could be interpreted as effective against any shareholder who </w:t>
      </w:r>
      <w:r w:rsidR="00044556">
        <w:rPr>
          <w:rFonts w:cs="Times New Roman"/>
          <w:sz w:val="24"/>
          <w:szCs w:val="24"/>
        </w:rPr>
        <w:t>"</w:t>
      </w:r>
      <w:r w:rsidR="00BC5F14">
        <w:rPr>
          <w:rFonts w:cs="Times New Roman"/>
          <w:sz w:val="24"/>
          <w:szCs w:val="24"/>
        </w:rPr>
        <w:t>maintains or continues</w:t>
      </w:r>
      <w:r w:rsidR="00044556">
        <w:rPr>
          <w:rFonts w:cs="Times New Roman"/>
          <w:sz w:val="24"/>
          <w:szCs w:val="24"/>
        </w:rPr>
        <w:t>"</w:t>
      </w:r>
      <w:r w:rsidR="00BC5F14">
        <w:rPr>
          <w:rFonts w:cs="Times New Roman"/>
          <w:sz w:val="24"/>
          <w:szCs w:val="24"/>
        </w:rPr>
        <w:t xml:space="preserve"> a lawsuit</w:t>
      </w:r>
      <w:r w:rsidR="00D5365C">
        <w:rPr>
          <w:rFonts w:cs="Times New Roman"/>
          <w:sz w:val="24"/>
          <w:szCs w:val="24"/>
        </w:rPr>
        <w:t xml:space="preserve"> against the corporation</w:t>
      </w:r>
      <w:r w:rsidR="00892282">
        <w:rPr>
          <w:rFonts w:cs="Times New Roman"/>
          <w:sz w:val="24"/>
          <w:szCs w:val="24"/>
        </w:rPr>
        <w:t>.</w:t>
      </w:r>
      <w:r w:rsidR="00892282">
        <w:rPr>
          <w:rStyle w:val="FootnoteReference"/>
          <w:rFonts w:cs="Times New Roman"/>
          <w:sz w:val="24"/>
          <w:szCs w:val="24"/>
        </w:rPr>
        <w:footnoteReference w:id="42"/>
      </w:r>
      <w:r w:rsidR="00ED4F3D">
        <w:rPr>
          <w:rFonts w:cs="Times New Roman"/>
          <w:sz w:val="24"/>
          <w:szCs w:val="24"/>
        </w:rPr>
        <w:t xml:space="preserve">  </w:t>
      </w:r>
      <w:r w:rsidR="00DD75E7">
        <w:rPr>
          <w:rFonts w:cs="Times New Roman"/>
          <w:sz w:val="24"/>
          <w:szCs w:val="24"/>
        </w:rPr>
        <w:t>Shortly after the plaintiffs received notice of the fee-shifting provision, they filed a motion to invalidate the provision or, in the alternative</w:t>
      </w:r>
      <w:r w:rsidR="00706CAA">
        <w:rPr>
          <w:rFonts w:cs="Times New Roman"/>
          <w:sz w:val="24"/>
          <w:szCs w:val="24"/>
        </w:rPr>
        <w:t>,</w:t>
      </w:r>
      <w:r w:rsidR="00DD75E7">
        <w:rPr>
          <w:rFonts w:cs="Times New Roman"/>
          <w:sz w:val="24"/>
          <w:szCs w:val="24"/>
        </w:rPr>
        <w:t xml:space="preserve"> voluntarily dismiss the action.</w:t>
      </w:r>
      <w:r w:rsidR="00DD75E7">
        <w:rPr>
          <w:rStyle w:val="FootnoteReference"/>
          <w:rFonts w:cs="Times New Roman"/>
          <w:sz w:val="24"/>
          <w:szCs w:val="24"/>
        </w:rPr>
        <w:footnoteReference w:id="43"/>
      </w:r>
      <w:r w:rsidR="004177A3">
        <w:rPr>
          <w:rFonts w:cs="Times New Roman"/>
          <w:sz w:val="24"/>
          <w:szCs w:val="24"/>
        </w:rPr>
        <w:t xml:space="preserve">  </w:t>
      </w:r>
      <w:r w:rsidR="00FE2210">
        <w:rPr>
          <w:rFonts w:cs="Times New Roman"/>
          <w:sz w:val="24"/>
          <w:szCs w:val="24"/>
        </w:rPr>
        <w:t xml:space="preserve">After full briefing on the issue, </w:t>
      </w:r>
      <w:r w:rsidR="006B7D0A">
        <w:rPr>
          <w:rFonts w:cs="Times New Roman"/>
          <w:sz w:val="24"/>
          <w:szCs w:val="24"/>
        </w:rPr>
        <w:t xml:space="preserve">Hemispherx notified the court that the corporation would not </w:t>
      </w:r>
      <w:r w:rsidR="00706CAA">
        <w:rPr>
          <w:rFonts w:cs="Times New Roman"/>
          <w:sz w:val="24"/>
          <w:szCs w:val="24"/>
        </w:rPr>
        <w:t>seek to apply</w:t>
      </w:r>
      <w:r w:rsidR="006B7D0A">
        <w:rPr>
          <w:rFonts w:cs="Times New Roman"/>
          <w:sz w:val="24"/>
          <w:szCs w:val="24"/>
        </w:rPr>
        <w:t xml:space="preserve"> the fee-shifting provision to </w:t>
      </w:r>
      <w:r w:rsidR="004152F0">
        <w:rPr>
          <w:rFonts w:cs="Times New Roman"/>
          <w:sz w:val="24"/>
          <w:szCs w:val="24"/>
        </w:rPr>
        <w:t>the pending litigation.</w:t>
      </w:r>
      <w:r w:rsidR="00C3525E">
        <w:rPr>
          <w:rStyle w:val="FootnoteReference"/>
          <w:rFonts w:cs="Times New Roman"/>
          <w:sz w:val="24"/>
          <w:szCs w:val="24"/>
        </w:rPr>
        <w:footnoteReference w:id="44"/>
      </w:r>
      <w:r w:rsidR="004152F0">
        <w:rPr>
          <w:rFonts w:cs="Times New Roman"/>
          <w:sz w:val="24"/>
          <w:szCs w:val="24"/>
        </w:rPr>
        <w:t xml:space="preserve">  </w:t>
      </w:r>
      <w:r w:rsidR="005827EA">
        <w:rPr>
          <w:rFonts w:cs="Times New Roman"/>
          <w:sz w:val="24"/>
          <w:szCs w:val="24"/>
        </w:rPr>
        <w:t xml:space="preserve">Accordingly, the </w:t>
      </w:r>
      <w:r w:rsidR="000B7F14">
        <w:rPr>
          <w:rFonts w:cs="Times New Roman"/>
          <w:sz w:val="24"/>
          <w:szCs w:val="24"/>
        </w:rPr>
        <w:t xml:space="preserve">Court of Chancery </w:t>
      </w:r>
      <w:r w:rsidR="00CC5C1F">
        <w:rPr>
          <w:rFonts w:cs="Times New Roman"/>
          <w:sz w:val="24"/>
          <w:szCs w:val="24"/>
        </w:rPr>
        <w:t>never ruled</w:t>
      </w:r>
      <w:r w:rsidR="000B7F14">
        <w:rPr>
          <w:rFonts w:cs="Times New Roman"/>
          <w:sz w:val="24"/>
          <w:szCs w:val="24"/>
        </w:rPr>
        <w:t xml:space="preserve"> on the validity of the Hemispherx bylaw.</w:t>
      </w:r>
    </w:p>
    <w:p w14:paraId="0DE14528" w14:textId="0A122157" w:rsidR="00ED59B4" w:rsidRDefault="00CE2F8C" w:rsidP="00F46666">
      <w:pPr>
        <w:widowControl w:val="0"/>
        <w:spacing w:line="480" w:lineRule="auto"/>
        <w:ind w:firstLine="720"/>
        <w:jc w:val="both"/>
        <w:rPr>
          <w:rFonts w:cs="Times New Roman"/>
          <w:sz w:val="24"/>
          <w:szCs w:val="24"/>
        </w:rPr>
      </w:pPr>
      <w:r>
        <w:rPr>
          <w:rFonts w:cs="Times New Roman"/>
          <w:sz w:val="24"/>
          <w:szCs w:val="24"/>
        </w:rPr>
        <w:t xml:space="preserve">More recently, </w:t>
      </w:r>
      <w:r w:rsidR="00D23001">
        <w:rPr>
          <w:rFonts w:cs="Times New Roman"/>
          <w:sz w:val="24"/>
          <w:szCs w:val="24"/>
        </w:rPr>
        <w:t xml:space="preserve">in </w:t>
      </w:r>
      <w:r w:rsidR="00D23001">
        <w:rPr>
          <w:rFonts w:cs="Times New Roman"/>
          <w:i/>
          <w:sz w:val="24"/>
          <w:szCs w:val="24"/>
        </w:rPr>
        <w:t>Struogo v. Hollander</w:t>
      </w:r>
      <w:r w:rsidR="00D23001">
        <w:rPr>
          <w:rFonts w:cs="Times New Roman"/>
          <w:sz w:val="24"/>
          <w:szCs w:val="24"/>
        </w:rPr>
        <w:t>,</w:t>
      </w:r>
      <w:r w:rsidR="00D23001">
        <w:rPr>
          <w:rFonts w:cs="Times New Roman"/>
          <w:i/>
          <w:sz w:val="24"/>
          <w:szCs w:val="24"/>
        </w:rPr>
        <w:t xml:space="preserve"> </w:t>
      </w:r>
      <w:r w:rsidR="003170C2">
        <w:rPr>
          <w:rFonts w:cs="Times New Roman"/>
          <w:sz w:val="24"/>
          <w:szCs w:val="24"/>
        </w:rPr>
        <w:t>a minority shareholder of First Aviation Services, Inc. filed an amended complaint in the Court of Chancery on September 24, 2014.</w:t>
      </w:r>
      <w:r w:rsidR="003170C2">
        <w:rPr>
          <w:rStyle w:val="FootnoteReference"/>
          <w:rFonts w:cs="Times New Roman"/>
          <w:sz w:val="24"/>
          <w:szCs w:val="24"/>
        </w:rPr>
        <w:footnoteReference w:id="45"/>
      </w:r>
      <w:r w:rsidR="00511B60">
        <w:rPr>
          <w:rFonts w:cs="Times New Roman"/>
          <w:sz w:val="24"/>
          <w:szCs w:val="24"/>
        </w:rPr>
        <w:t xml:space="preserve">  </w:t>
      </w:r>
      <w:r w:rsidR="002F601B">
        <w:rPr>
          <w:rFonts w:cs="Times New Roman"/>
          <w:sz w:val="24"/>
          <w:szCs w:val="24"/>
        </w:rPr>
        <w:t>The complaint, as amended</w:t>
      </w:r>
      <w:r w:rsidR="00824A2D">
        <w:rPr>
          <w:rFonts w:cs="Times New Roman"/>
          <w:sz w:val="24"/>
          <w:szCs w:val="24"/>
        </w:rPr>
        <w:t>,</w:t>
      </w:r>
      <w:r w:rsidR="00C83583">
        <w:rPr>
          <w:rFonts w:cs="Times New Roman"/>
          <w:sz w:val="24"/>
          <w:szCs w:val="24"/>
        </w:rPr>
        <w:t xml:space="preserve"> alleged</w:t>
      </w:r>
      <w:r w:rsidR="002F601B">
        <w:rPr>
          <w:rFonts w:cs="Times New Roman"/>
          <w:sz w:val="24"/>
          <w:szCs w:val="24"/>
        </w:rPr>
        <w:t xml:space="preserve"> a freeze out of the minority stockholders by </w:t>
      </w:r>
      <w:r w:rsidR="00824A2D">
        <w:rPr>
          <w:rFonts w:cs="Times New Roman"/>
          <w:sz w:val="24"/>
          <w:szCs w:val="24"/>
        </w:rPr>
        <w:t>way</w:t>
      </w:r>
      <w:r w:rsidR="002F601B">
        <w:rPr>
          <w:rFonts w:cs="Times New Roman"/>
          <w:sz w:val="24"/>
          <w:szCs w:val="24"/>
        </w:rPr>
        <w:t xml:space="preserve"> of a reverse share split.</w:t>
      </w:r>
      <w:r w:rsidR="002F601B">
        <w:rPr>
          <w:rStyle w:val="FootnoteReference"/>
          <w:rFonts w:cs="Times New Roman"/>
          <w:sz w:val="24"/>
          <w:szCs w:val="24"/>
        </w:rPr>
        <w:footnoteReference w:id="46"/>
      </w:r>
      <w:r w:rsidR="005B1A90">
        <w:rPr>
          <w:rFonts w:cs="Times New Roman"/>
          <w:sz w:val="24"/>
          <w:szCs w:val="24"/>
        </w:rPr>
        <w:t xml:space="preserve">  In addition, the plaintiff </w:t>
      </w:r>
      <w:r w:rsidR="00C83583">
        <w:rPr>
          <w:rFonts w:cs="Times New Roman"/>
          <w:sz w:val="24"/>
          <w:szCs w:val="24"/>
        </w:rPr>
        <w:t>sought</w:t>
      </w:r>
      <w:r w:rsidR="005B1A90">
        <w:rPr>
          <w:rFonts w:cs="Times New Roman"/>
          <w:sz w:val="24"/>
          <w:szCs w:val="24"/>
        </w:rPr>
        <w:t xml:space="preserve"> invalidation of a fee-shifting bylaw</w:t>
      </w:r>
      <w:r w:rsidR="00E15681">
        <w:rPr>
          <w:rFonts w:cs="Times New Roman"/>
          <w:sz w:val="24"/>
          <w:szCs w:val="24"/>
        </w:rPr>
        <w:t xml:space="preserve"> the board quietly</w:t>
      </w:r>
      <w:r w:rsidR="005B1A90">
        <w:rPr>
          <w:rFonts w:cs="Times New Roman"/>
          <w:sz w:val="24"/>
          <w:szCs w:val="24"/>
        </w:rPr>
        <w:t xml:space="preserve"> adopted in the wake of the </w:t>
      </w:r>
      <w:r w:rsidR="000F0B72">
        <w:rPr>
          <w:rFonts w:cs="Times New Roman"/>
          <w:sz w:val="24"/>
          <w:szCs w:val="24"/>
        </w:rPr>
        <w:t>disputed</w:t>
      </w:r>
      <w:r w:rsidR="005B1A90">
        <w:rPr>
          <w:rFonts w:cs="Times New Roman"/>
          <w:sz w:val="24"/>
          <w:szCs w:val="24"/>
        </w:rPr>
        <w:t xml:space="preserve"> transaction.</w:t>
      </w:r>
      <w:r w:rsidR="00EE7F6A">
        <w:rPr>
          <w:rStyle w:val="FootnoteReference"/>
          <w:rFonts w:cs="Times New Roman"/>
          <w:sz w:val="24"/>
          <w:szCs w:val="24"/>
        </w:rPr>
        <w:footnoteReference w:id="47"/>
      </w:r>
      <w:r w:rsidR="005E4B97">
        <w:rPr>
          <w:rFonts w:cs="Times New Roman"/>
          <w:sz w:val="24"/>
          <w:szCs w:val="24"/>
        </w:rPr>
        <w:t xml:space="preserve"> </w:t>
      </w:r>
      <w:r w:rsidR="00521750">
        <w:rPr>
          <w:rFonts w:cs="Times New Roman"/>
          <w:sz w:val="24"/>
          <w:szCs w:val="24"/>
        </w:rPr>
        <w:t xml:space="preserve"> </w:t>
      </w:r>
      <w:r w:rsidR="00B9340D">
        <w:rPr>
          <w:rFonts w:cs="Times New Roman"/>
          <w:sz w:val="24"/>
          <w:szCs w:val="24"/>
        </w:rPr>
        <w:t>In an opinion on</w:t>
      </w:r>
      <w:r w:rsidR="005E4B97">
        <w:rPr>
          <w:rFonts w:cs="Times New Roman"/>
          <w:sz w:val="24"/>
          <w:szCs w:val="24"/>
        </w:rPr>
        <w:t xml:space="preserve"> the plaintiff’s motion for partial summary judgment, </w:t>
      </w:r>
      <w:r w:rsidR="00521750">
        <w:rPr>
          <w:rFonts w:cs="Times New Roman"/>
          <w:sz w:val="24"/>
          <w:szCs w:val="24"/>
        </w:rPr>
        <w:t xml:space="preserve">Chancellor Bouchard </w:t>
      </w:r>
      <w:r w:rsidR="005E4B97">
        <w:rPr>
          <w:rFonts w:cs="Times New Roman"/>
          <w:sz w:val="24"/>
          <w:szCs w:val="24"/>
        </w:rPr>
        <w:t>held</w:t>
      </w:r>
      <w:r w:rsidR="00521750">
        <w:rPr>
          <w:rFonts w:cs="Times New Roman"/>
          <w:sz w:val="24"/>
          <w:szCs w:val="24"/>
        </w:rPr>
        <w:t xml:space="preserve"> that the bylaw could not be </w:t>
      </w:r>
      <w:r w:rsidR="008E6132">
        <w:rPr>
          <w:rFonts w:cs="Times New Roman"/>
          <w:sz w:val="24"/>
          <w:szCs w:val="24"/>
        </w:rPr>
        <w:t>applied</w:t>
      </w:r>
      <w:r w:rsidR="00476309">
        <w:rPr>
          <w:rFonts w:cs="Times New Roman"/>
          <w:sz w:val="24"/>
          <w:szCs w:val="24"/>
        </w:rPr>
        <w:t xml:space="preserve"> to the plaintiff</w:t>
      </w:r>
      <w:r w:rsidR="00521750">
        <w:rPr>
          <w:rFonts w:cs="Times New Roman"/>
          <w:sz w:val="24"/>
          <w:szCs w:val="24"/>
        </w:rPr>
        <w:t>.</w:t>
      </w:r>
      <w:r w:rsidR="00521750">
        <w:rPr>
          <w:rStyle w:val="FootnoteReference"/>
          <w:rFonts w:cs="Times New Roman"/>
          <w:sz w:val="24"/>
          <w:szCs w:val="24"/>
        </w:rPr>
        <w:footnoteReference w:id="48"/>
      </w:r>
      <w:r w:rsidR="00C611ED">
        <w:rPr>
          <w:rFonts w:cs="Times New Roman"/>
          <w:sz w:val="24"/>
          <w:szCs w:val="24"/>
        </w:rPr>
        <w:t xml:space="preserve">  </w:t>
      </w:r>
      <w:r w:rsidR="00F163E2">
        <w:rPr>
          <w:rFonts w:cs="Times New Roman"/>
          <w:sz w:val="24"/>
          <w:szCs w:val="24"/>
        </w:rPr>
        <w:t>R</w:t>
      </w:r>
      <w:r w:rsidR="00C611ED">
        <w:rPr>
          <w:rFonts w:cs="Times New Roman"/>
          <w:sz w:val="24"/>
          <w:szCs w:val="24"/>
        </w:rPr>
        <w:t xml:space="preserve">ather than addressing the validity of </w:t>
      </w:r>
      <w:r w:rsidR="00181ECA">
        <w:rPr>
          <w:rFonts w:cs="Times New Roman"/>
          <w:sz w:val="24"/>
          <w:szCs w:val="24"/>
        </w:rPr>
        <w:t>such</w:t>
      </w:r>
      <w:r w:rsidR="00C611ED">
        <w:rPr>
          <w:rFonts w:cs="Times New Roman"/>
          <w:sz w:val="24"/>
          <w:szCs w:val="24"/>
        </w:rPr>
        <w:t xml:space="preserve"> </w:t>
      </w:r>
      <w:r w:rsidR="00A23F99">
        <w:rPr>
          <w:rFonts w:cs="Times New Roman"/>
          <w:sz w:val="24"/>
          <w:szCs w:val="24"/>
        </w:rPr>
        <w:t xml:space="preserve">bylaws </w:t>
      </w:r>
      <w:r w:rsidR="00255864">
        <w:rPr>
          <w:rFonts w:cs="Times New Roman"/>
          <w:sz w:val="24"/>
          <w:szCs w:val="24"/>
        </w:rPr>
        <w:t>generally</w:t>
      </w:r>
      <w:r w:rsidR="00C611ED">
        <w:rPr>
          <w:rFonts w:cs="Times New Roman"/>
          <w:sz w:val="24"/>
          <w:szCs w:val="24"/>
        </w:rPr>
        <w:t xml:space="preserve">, the Chancellor </w:t>
      </w:r>
      <w:r w:rsidR="00FD5AC2">
        <w:rPr>
          <w:rFonts w:cs="Times New Roman"/>
          <w:sz w:val="24"/>
          <w:szCs w:val="24"/>
        </w:rPr>
        <w:t xml:space="preserve">focused on the timing </w:t>
      </w:r>
      <w:r w:rsidR="00692C08">
        <w:rPr>
          <w:rFonts w:cs="Times New Roman"/>
          <w:sz w:val="24"/>
          <w:szCs w:val="24"/>
        </w:rPr>
        <w:t>of First Aviation’s adoption of the bylaw</w:t>
      </w:r>
      <w:r w:rsidR="009B35C6">
        <w:rPr>
          <w:rFonts w:cs="Times New Roman"/>
          <w:sz w:val="24"/>
          <w:szCs w:val="24"/>
        </w:rPr>
        <w:t>.</w:t>
      </w:r>
      <w:r w:rsidR="003809C2">
        <w:rPr>
          <w:rStyle w:val="FootnoteReference"/>
          <w:rFonts w:cs="Times New Roman"/>
          <w:sz w:val="24"/>
          <w:szCs w:val="24"/>
        </w:rPr>
        <w:footnoteReference w:id="49"/>
      </w:r>
      <w:r w:rsidR="009B35C6">
        <w:rPr>
          <w:rFonts w:cs="Times New Roman"/>
          <w:sz w:val="24"/>
          <w:szCs w:val="24"/>
        </w:rPr>
        <w:t xml:space="preserve">  </w:t>
      </w:r>
      <w:r w:rsidR="005D6467">
        <w:rPr>
          <w:rFonts w:cs="Times New Roman"/>
          <w:sz w:val="24"/>
          <w:szCs w:val="24"/>
        </w:rPr>
        <w:t>Because</w:t>
      </w:r>
      <w:r w:rsidR="00FB2462">
        <w:rPr>
          <w:rFonts w:cs="Times New Roman"/>
          <w:sz w:val="24"/>
          <w:szCs w:val="24"/>
        </w:rPr>
        <w:t xml:space="preserve"> First Aviation’s Board adopted the </w:t>
      </w:r>
      <w:r w:rsidR="00F06D25">
        <w:rPr>
          <w:rFonts w:cs="Times New Roman"/>
          <w:sz w:val="24"/>
          <w:szCs w:val="24"/>
        </w:rPr>
        <w:t xml:space="preserve">bylaw </w:t>
      </w:r>
      <w:r w:rsidR="00255864">
        <w:rPr>
          <w:rFonts w:cs="Times New Roman"/>
          <w:sz w:val="24"/>
          <w:szCs w:val="24"/>
        </w:rPr>
        <w:t xml:space="preserve">after the plaintiff </w:t>
      </w:r>
      <w:r w:rsidR="002F01A1">
        <w:rPr>
          <w:rFonts w:cs="Times New Roman"/>
          <w:sz w:val="24"/>
          <w:szCs w:val="24"/>
        </w:rPr>
        <w:t xml:space="preserve">no longer </w:t>
      </w:r>
      <w:r w:rsidR="005D6467">
        <w:rPr>
          <w:rFonts w:cs="Times New Roman"/>
          <w:sz w:val="24"/>
          <w:szCs w:val="24"/>
        </w:rPr>
        <w:t>held shares in the company</w:t>
      </w:r>
      <w:r w:rsidR="002F01A1">
        <w:rPr>
          <w:rFonts w:cs="Times New Roman"/>
          <w:sz w:val="24"/>
          <w:szCs w:val="24"/>
        </w:rPr>
        <w:t xml:space="preserve">, </w:t>
      </w:r>
      <w:r w:rsidR="00250E19">
        <w:rPr>
          <w:rFonts w:cs="Times New Roman"/>
          <w:sz w:val="24"/>
          <w:szCs w:val="24"/>
        </w:rPr>
        <w:t xml:space="preserve">it could not bind the </w:t>
      </w:r>
      <w:r w:rsidR="0004758C">
        <w:rPr>
          <w:rFonts w:cs="Times New Roman"/>
          <w:sz w:val="24"/>
          <w:szCs w:val="24"/>
        </w:rPr>
        <w:t>plaintiff</w:t>
      </w:r>
      <w:r w:rsidR="00D83BB7">
        <w:rPr>
          <w:rFonts w:cs="Times New Roman"/>
          <w:sz w:val="24"/>
          <w:szCs w:val="24"/>
        </w:rPr>
        <w:t>, both</w:t>
      </w:r>
      <w:r w:rsidR="0004758C">
        <w:rPr>
          <w:rFonts w:cs="Times New Roman"/>
          <w:sz w:val="24"/>
          <w:szCs w:val="24"/>
        </w:rPr>
        <w:t xml:space="preserve"> as a matter of contract law</w:t>
      </w:r>
      <w:r w:rsidR="00D83BB7">
        <w:rPr>
          <w:rFonts w:cs="Times New Roman"/>
          <w:sz w:val="24"/>
          <w:szCs w:val="24"/>
        </w:rPr>
        <w:t xml:space="preserve"> and Delaware corporate law</w:t>
      </w:r>
      <w:r w:rsidR="0004758C">
        <w:rPr>
          <w:rFonts w:cs="Times New Roman"/>
          <w:sz w:val="24"/>
          <w:szCs w:val="24"/>
        </w:rPr>
        <w:t>.</w:t>
      </w:r>
      <w:r w:rsidR="0039385D">
        <w:rPr>
          <w:rStyle w:val="FootnoteReference"/>
          <w:rFonts w:cs="Times New Roman"/>
          <w:sz w:val="24"/>
          <w:szCs w:val="24"/>
        </w:rPr>
        <w:footnoteReference w:id="50"/>
      </w:r>
      <w:r w:rsidR="00250E19">
        <w:rPr>
          <w:rFonts w:cs="Times New Roman"/>
          <w:sz w:val="24"/>
          <w:szCs w:val="24"/>
        </w:rPr>
        <w:t xml:space="preserve"> </w:t>
      </w:r>
      <w:r w:rsidR="008C4D54">
        <w:rPr>
          <w:rFonts w:cs="Times New Roman"/>
          <w:sz w:val="24"/>
          <w:szCs w:val="24"/>
        </w:rPr>
        <w:t xml:space="preserve"> </w:t>
      </w:r>
      <w:r w:rsidR="00C12219">
        <w:rPr>
          <w:rFonts w:cs="Times New Roman"/>
          <w:sz w:val="24"/>
          <w:szCs w:val="24"/>
        </w:rPr>
        <w:t>However</w:t>
      </w:r>
      <w:r w:rsidR="002E57AF">
        <w:rPr>
          <w:rFonts w:cs="Times New Roman"/>
          <w:sz w:val="24"/>
          <w:szCs w:val="24"/>
        </w:rPr>
        <w:t xml:space="preserve">, the Chancellor </w:t>
      </w:r>
      <w:r w:rsidR="00C12219">
        <w:rPr>
          <w:rFonts w:cs="Times New Roman"/>
          <w:sz w:val="24"/>
          <w:szCs w:val="24"/>
        </w:rPr>
        <w:t>did note</w:t>
      </w:r>
      <w:r w:rsidR="003531C2">
        <w:rPr>
          <w:rFonts w:cs="Times New Roman"/>
          <w:sz w:val="24"/>
          <w:szCs w:val="24"/>
        </w:rPr>
        <w:t xml:space="preserve"> the </w:t>
      </w:r>
      <w:r w:rsidR="001F7C07">
        <w:rPr>
          <w:rFonts w:cs="Times New Roman"/>
          <w:sz w:val="24"/>
          <w:szCs w:val="24"/>
        </w:rPr>
        <w:t>potentially</w:t>
      </w:r>
      <w:r w:rsidR="00B3449E">
        <w:rPr>
          <w:rFonts w:cs="Times New Roman"/>
          <w:sz w:val="24"/>
          <w:szCs w:val="24"/>
        </w:rPr>
        <w:t xml:space="preserve"> troublesome </w:t>
      </w:r>
      <w:r w:rsidR="00552581">
        <w:rPr>
          <w:rFonts w:cs="Times New Roman"/>
          <w:sz w:val="24"/>
          <w:szCs w:val="24"/>
        </w:rPr>
        <w:t>nature</w:t>
      </w:r>
      <w:r w:rsidR="00B44AFE">
        <w:rPr>
          <w:rFonts w:cs="Times New Roman"/>
          <w:sz w:val="24"/>
          <w:szCs w:val="24"/>
        </w:rPr>
        <w:t xml:space="preserve"> of </w:t>
      </w:r>
      <w:r w:rsidR="00377537">
        <w:rPr>
          <w:rFonts w:cs="Times New Roman"/>
          <w:sz w:val="24"/>
          <w:szCs w:val="24"/>
        </w:rPr>
        <w:t>fee-shifting bylaws:</w:t>
      </w:r>
    </w:p>
    <w:p w14:paraId="09DE9F71" w14:textId="26FAD5E3" w:rsidR="00377537" w:rsidRDefault="00377537" w:rsidP="00377537">
      <w:pPr>
        <w:widowControl w:val="0"/>
        <w:spacing w:after="240"/>
        <w:ind w:left="1440" w:right="720"/>
        <w:jc w:val="both"/>
        <w:rPr>
          <w:rFonts w:cs="Times New Roman"/>
          <w:sz w:val="24"/>
          <w:szCs w:val="24"/>
        </w:rPr>
      </w:pPr>
      <w:r w:rsidRPr="00377537">
        <w:rPr>
          <w:rFonts w:cs="Times New Roman"/>
          <w:sz w:val="24"/>
          <w:szCs w:val="24"/>
        </w:rPr>
        <w:t>As a practical matter, therefore, applying the Bylaw in this case would have the effect of immunizing the Reverse Stock Split from judicial review because, in my view, no rational stockholder—and no rational plaintiff's lawyer—would risk having to pay the Defendants' uncapped attorneys' fees to vindicate the rights of the Company's minority stockholders, even though the Reverse Stock Split appears to be precisely the type of transaction that should be subject to Delaware's most exacting standard of review to protect</w:t>
      </w:r>
      <w:r>
        <w:rPr>
          <w:rFonts w:cs="Times New Roman"/>
          <w:sz w:val="24"/>
          <w:szCs w:val="24"/>
        </w:rPr>
        <w:t xml:space="preserve"> against fiduciary misconduct.</w:t>
      </w:r>
      <w:r w:rsidRPr="00377537">
        <w:rPr>
          <w:rFonts w:cs="Times New Roman"/>
          <w:sz w:val="24"/>
          <w:szCs w:val="24"/>
        </w:rPr>
        <w:t xml:space="preserve"> </w:t>
      </w:r>
      <w:r>
        <w:rPr>
          <w:rFonts w:cs="Times New Roman"/>
          <w:sz w:val="24"/>
          <w:szCs w:val="24"/>
        </w:rPr>
        <w:t xml:space="preserve"> </w:t>
      </w:r>
      <w:r w:rsidRPr="00377537">
        <w:rPr>
          <w:rFonts w:cs="Times New Roman"/>
          <w:sz w:val="24"/>
          <w:szCs w:val="24"/>
        </w:rPr>
        <w:t>This reality demonstrates the serious policy questions implicated by fee-shifting bylaws in general, including whether it would be statutorily permissible and/or equitable to adopt bylaws that functionally deprive stockholders of an important right: the right to sue to vindicate their interests as stockholders.</w:t>
      </w:r>
      <w:r w:rsidR="002A4035">
        <w:rPr>
          <w:rStyle w:val="FootnoteReference"/>
          <w:rFonts w:cs="Times New Roman"/>
          <w:sz w:val="24"/>
          <w:szCs w:val="24"/>
        </w:rPr>
        <w:footnoteReference w:id="51"/>
      </w:r>
    </w:p>
    <w:p w14:paraId="049D0292" w14:textId="4296F444" w:rsidR="00377537" w:rsidRDefault="002C3D14" w:rsidP="008175D1">
      <w:pPr>
        <w:widowControl w:val="0"/>
        <w:tabs>
          <w:tab w:val="left" w:pos="9360"/>
        </w:tabs>
        <w:spacing w:line="480" w:lineRule="auto"/>
        <w:jc w:val="both"/>
        <w:rPr>
          <w:rFonts w:cs="Times New Roman"/>
          <w:sz w:val="24"/>
          <w:szCs w:val="24"/>
        </w:rPr>
      </w:pPr>
      <w:r>
        <w:rPr>
          <w:rFonts w:cs="Times New Roman"/>
          <w:sz w:val="24"/>
          <w:szCs w:val="24"/>
        </w:rPr>
        <w:t xml:space="preserve">Although </w:t>
      </w:r>
      <w:r w:rsidR="00BB2B5B">
        <w:rPr>
          <w:rFonts w:cs="Times New Roman"/>
          <w:sz w:val="24"/>
          <w:szCs w:val="24"/>
        </w:rPr>
        <w:t>dicta</w:t>
      </w:r>
      <w:r w:rsidR="00DF34D3">
        <w:rPr>
          <w:rFonts w:cs="Times New Roman"/>
          <w:sz w:val="24"/>
          <w:szCs w:val="24"/>
        </w:rPr>
        <w:t xml:space="preserve">, </w:t>
      </w:r>
      <w:r w:rsidR="00BB2B5B">
        <w:rPr>
          <w:rFonts w:cs="Times New Roman"/>
          <w:sz w:val="24"/>
          <w:szCs w:val="24"/>
        </w:rPr>
        <w:t>the Chancellor’s</w:t>
      </w:r>
      <w:r w:rsidR="00455E85">
        <w:rPr>
          <w:rFonts w:cs="Times New Roman"/>
          <w:sz w:val="24"/>
          <w:szCs w:val="24"/>
        </w:rPr>
        <w:t xml:space="preserve"> comments may </w:t>
      </w:r>
      <w:r w:rsidR="00486FB2">
        <w:rPr>
          <w:rFonts w:cs="Times New Roman"/>
          <w:sz w:val="24"/>
          <w:szCs w:val="24"/>
        </w:rPr>
        <w:t>provide insight on</w:t>
      </w:r>
      <w:r w:rsidR="00455E85">
        <w:rPr>
          <w:rFonts w:cs="Times New Roman"/>
          <w:sz w:val="24"/>
          <w:szCs w:val="24"/>
        </w:rPr>
        <w:t xml:space="preserve"> how the Court of Chancery </w:t>
      </w:r>
      <w:r w:rsidR="00ED0A91">
        <w:rPr>
          <w:rFonts w:cs="Times New Roman"/>
          <w:sz w:val="24"/>
          <w:szCs w:val="24"/>
        </w:rPr>
        <w:t>might</w:t>
      </w:r>
      <w:r w:rsidR="00455E85">
        <w:rPr>
          <w:rFonts w:cs="Times New Roman"/>
          <w:sz w:val="24"/>
          <w:szCs w:val="24"/>
        </w:rPr>
        <w:t xml:space="preserve"> </w:t>
      </w:r>
      <w:r w:rsidR="00EF4471">
        <w:rPr>
          <w:rFonts w:cs="Times New Roman"/>
          <w:sz w:val="24"/>
          <w:szCs w:val="24"/>
        </w:rPr>
        <w:t>view</w:t>
      </w:r>
      <w:r w:rsidR="00927936">
        <w:rPr>
          <w:rFonts w:cs="Times New Roman"/>
          <w:sz w:val="24"/>
          <w:szCs w:val="24"/>
        </w:rPr>
        <w:t xml:space="preserve"> enforceability of</w:t>
      </w:r>
      <w:r w:rsidR="0003740A">
        <w:rPr>
          <w:rFonts w:cs="Times New Roman"/>
          <w:sz w:val="24"/>
          <w:szCs w:val="24"/>
        </w:rPr>
        <w:t xml:space="preserve"> fee-shifting bylaws </w:t>
      </w:r>
      <w:r w:rsidR="002A3F92">
        <w:rPr>
          <w:rFonts w:cs="Times New Roman"/>
          <w:sz w:val="24"/>
          <w:szCs w:val="24"/>
        </w:rPr>
        <w:t>for future cases,</w:t>
      </w:r>
      <w:r w:rsidR="006D7323">
        <w:rPr>
          <w:rFonts w:cs="Times New Roman"/>
          <w:sz w:val="24"/>
          <w:szCs w:val="24"/>
        </w:rPr>
        <w:t xml:space="preserve"> in the event that the current legislative effort is unsuccessful</w:t>
      </w:r>
      <w:r w:rsidR="0003740A">
        <w:rPr>
          <w:rFonts w:cs="Times New Roman"/>
          <w:sz w:val="24"/>
          <w:szCs w:val="24"/>
        </w:rPr>
        <w:t>.</w:t>
      </w:r>
    </w:p>
    <w:p w14:paraId="17566442" w14:textId="39B19EA4" w:rsidR="00C3677C" w:rsidRPr="009014AE" w:rsidRDefault="00F66AAD" w:rsidP="00493CC4">
      <w:pPr>
        <w:pStyle w:val="Heading1"/>
      </w:pPr>
      <w:r w:rsidRPr="009014AE">
        <w:t xml:space="preserve">FEE-SHIFTING BYLAWS: </w:t>
      </w:r>
      <w:r w:rsidR="00D607A2" w:rsidRPr="009014AE">
        <w:t>POTENTIAL</w:t>
      </w:r>
      <w:r w:rsidRPr="009014AE">
        <w:t xml:space="preserve"> PROBLEMS AND BENEFITS</w:t>
      </w:r>
    </w:p>
    <w:p w14:paraId="3C1FA904" w14:textId="43420A4C" w:rsidR="0062628A" w:rsidRPr="00AC3B9A" w:rsidRDefault="0023310D" w:rsidP="00316553">
      <w:pPr>
        <w:widowControl w:val="0"/>
        <w:spacing w:line="480" w:lineRule="auto"/>
        <w:ind w:firstLine="720"/>
        <w:jc w:val="both"/>
        <w:rPr>
          <w:rFonts w:cs="Times New Roman"/>
          <w:sz w:val="24"/>
          <w:szCs w:val="24"/>
        </w:rPr>
      </w:pPr>
      <w:r w:rsidRPr="009014AE">
        <w:rPr>
          <w:rFonts w:cs="Times New Roman"/>
          <w:sz w:val="24"/>
          <w:szCs w:val="24"/>
        </w:rPr>
        <w:t>Although</w:t>
      </w:r>
      <w:r w:rsidR="008D3305" w:rsidRPr="009014AE">
        <w:rPr>
          <w:rFonts w:cs="Times New Roman"/>
          <w:sz w:val="24"/>
          <w:szCs w:val="24"/>
        </w:rPr>
        <w:t xml:space="preserve"> </w:t>
      </w:r>
      <w:r w:rsidR="00F61D0D">
        <w:rPr>
          <w:rFonts w:cs="Times New Roman"/>
          <w:sz w:val="24"/>
          <w:szCs w:val="24"/>
        </w:rPr>
        <w:t xml:space="preserve">the corporation in </w:t>
      </w:r>
      <w:r w:rsidR="00B633F3" w:rsidRPr="00F61D0D">
        <w:rPr>
          <w:rFonts w:cs="Times New Roman"/>
          <w:i/>
          <w:sz w:val="24"/>
          <w:szCs w:val="24"/>
        </w:rPr>
        <w:t>ATP Tour</w:t>
      </w:r>
      <w:r w:rsidR="00B633F3" w:rsidRPr="009014AE">
        <w:rPr>
          <w:rFonts w:cs="Times New Roman"/>
          <w:sz w:val="24"/>
          <w:szCs w:val="24"/>
        </w:rPr>
        <w:t xml:space="preserve"> </w:t>
      </w:r>
      <w:r w:rsidR="00F61D0D">
        <w:rPr>
          <w:rFonts w:cs="Times New Roman"/>
          <w:sz w:val="24"/>
          <w:szCs w:val="24"/>
        </w:rPr>
        <w:t>was</w:t>
      </w:r>
      <w:r w:rsidR="00B633F3" w:rsidRPr="009014AE">
        <w:rPr>
          <w:rFonts w:cs="Times New Roman"/>
          <w:sz w:val="24"/>
          <w:szCs w:val="24"/>
        </w:rPr>
        <w:t xml:space="preserve"> a nonprofit, </w:t>
      </w:r>
      <w:r w:rsidR="00032331">
        <w:rPr>
          <w:rFonts w:cs="Times New Roman"/>
          <w:i/>
          <w:sz w:val="24"/>
          <w:szCs w:val="24"/>
        </w:rPr>
        <w:t>ATP Tour</w:t>
      </w:r>
      <w:r w:rsidR="00032331">
        <w:rPr>
          <w:rFonts w:cs="Times New Roman"/>
          <w:sz w:val="24"/>
          <w:szCs w:val="24"/>
        </w:rPr>
        <w:t>'s</w:t>
      </w:r>
      <w:r w:rsidR="002E7477" w:rsidRPr="009014AE">
        <w:rPr>
          <w:rFonts w:cs="Times New Roman"/>
          <w:sz w:val="24"/>
          <w:szCs w:val="24"/>
        </w:rPr>
        <w:t xml:space="preserve"> holding </w:t>
      </w:r>
      <w:r w:rsidR="007B6191">
        <w:rPr>
          <w:rFonts w:cs="Times New Roman"/>
          <w:sz w:val="24"/>
          <w:szCs w:val="24"/>
        </w:rPr>
        <w:t>likely</w:t>
      </w:r>
      <w:r w:rsidR="008D3305" w:rsidRPr="009014AE">
        <w:rPr>
          <w:rFonts w:cs="Times New Roman"/>
          <w:sz w:val="24"/>
          <w:szCs w:val="24"/>
        </w:rPr>
        <w:t xml:space="preserve"> </w:t>
      </w:r>
      <w:r w:rsidR="004C0876">
        <w:rPr>
          <w:rFonts w:cs="Times New Roman"/>
          <w:sz w:val="24"/>
          <w:szCs w:val="24"/>
        </w:rPr>
        <w:t>applies</w:t>
      </w:r>
      <w:r w:rsidR="008D3305" w:rsidRPr="009014AE">
        <w:rPr>
          <w:rFonts w:cs="Times New Roman"/>
          <w:sz w:val="24"/>
          <w:szCs w:val="24"/>
        </w:rPr>
        <w:t xml:space="preserve"> to profit corporations.</w:t>
      </w:r>
      <w:r w:rsidR="00D91CAB" w:rsidRPr="009014AE">
        <w:rPr>
          <w:rFonts w:cs="Times New Roman"/>
          <w:sz w:val="24"/>
          <w:szCs w:val="24"/>
        </w:rPr>
        <w:t xml:space="preserve">  </w:t>
      </w:r>
      <w:r w:rsidR="00CE6776" w:rsidRPr="009014AE">
        <w:rPr>
          <w:rFonts w:cs="Times New Roman"/>
          <w:sz w:val="24"/>
          <w:szCs w:val="24"/>
        </w:rPr>
        <w:t>First</w:t>
      </w:r>
      <w:r w:rsidR="00A65098" w:rsidRPr="009014AE">
        <w:rPr>
          <w:rFonts w:cs="Times New Roman"/>
          <w:sz w:val="24"/>
          <w:szCs w:val="24"/>
        </w:rPr>
        <w:t>, t</w:t>
      </w:r>
      <w:r w:rsidR="00ED7C62" w:rsidRPr="009014AE">
        <w:rPr>
          <w:rFonts w:cs="Times New Roman"/>
          <w:sz w:val="24"/>
          <w:szCs w:val="24"/>
        </w:rPr>
        <w:t>he Court did not say anything</w:t>
      </w:r>
      <w:r w:rsidR="004B357B" w:rsidRPr="009014AE">
        <w:rPr>
          <w:rFonts w:cs="Times New Roman"/>
          <w:sz w:val="24"/>
          <w:szCs w:val="24"/>
        </w:rPr>
        <w:t xml:space="preserve"> to the contrary</w:t>
      </w:r>
      <w:r w:rsidR="00ED7C62" w:rsidRPr="009014AE">
        <w:rPr>
          <w:rFonts w:cs="Times New Roman"/>
          <w:sz w:val="24"/>
          <w:szCs w:val="24"/>
        </w:rPr>
        <w:t xml:space="preserve"> in its opinion</w:t>
      </w:r>
      <w:r w:rsidR="00F43FCD" w:rsidRPr="009014AE">
        <w:rPr>
          <w:rFonts w:cs="Times New Roman"/>
          <w:sz w:val="24"/>
          <w:szCs w:val="24"/>
        </w:rPr>
        <w:t>.</w:t>
      </w:r>
      <w:r w:rsidR="004F4A84" w:rsidRPr="009014AE">
        <w:rPr>
          <w:rStyle w:val="FootnoteReference"/>
          <w:rFonts w:cs="Times New Roman"/>
          <w:sz w:val="24"/>
          <w:szCs w:val="24"/>
        </w:rPr>
        <w:footnoteReference w:id="52"/>
      </w:r>
      <w:r w:rsidR="00F43FCD" w:rsidRPr="009014AE">
        <w:rPr>
          <w:rFonts w:cs="Times New Roman"/>
          <w:sz w:val="24"/>
          <w:szCs w:val="24"/>
        </w:rPr>
        <w:t xml:space="preserve"> </w:t>
      </w:r>
      <w:r w:rsidR="00ED7C62" w:rsidRPr="009014AE">
        <w:rPr>
          <w:rFonts w:cs="Times New Roman"/>
          <w:sz w:val="24"/>
          <w:szCs w:val="24"/>
        </w:rPr>
        <w:t xml:space="preserve"> </w:t>
      </w:r>
      <w:r w:rsidR="00287D35">
        <w:rPr>
          <w:rFonts w:cs="Times New Roman"/>
          <w:sz w:val="24"/>
          <w:szCs w:val="24"/>
        </w:rPr>
        <w:t>Second,</w:t>
      </w:r>
      <w:r w:rsidR="00AD0DED" w:rsidRPr="009014AE">
        <w:rPr>
          <w:rFonts w:cs="Times New Roman"/>
          <w:sz w:val="24"/>
          <w:szCs w:val="24"/>
        </w:rPr>
        <w:t xml:space="preserve"> the Court </w:t>
      </w:r>
      <w:r w:rsidR="000B02D5" w:rsidRPr="009014AE">
        <w:rPr>
          <w:rFonts w:cs="Times New Roman"/>
          <w:sz w:val="24"/>
          <w:szCs w:val="24"/>
        </w:rPr>
        <w:t>reli</w:t>
      </w:r>
      <w:r w:rsidR="00287D35">
        <w:rPr>
          <w:rFonts w:cs="Times New Roman"/>
          <w:sz w:val="24"/>
          <w:szCs w:val="24"/>
        </w:rPr>
        <w:t>ed</w:t>
      </w:r>
      <w:r w:rsidR="00AD0DED" w:rsidRPr="009014AE">
        <w:rPr>
          <w:rFonts w:cs="Times New Roman"/>
          <w:sz w:val="24"/>
          <w:szCs w:val="24"/>
        </w:rPr>
        <w:t xml:space="preserve"> on profit corporation </w:t>
      </w:r>
      <w:r w:rsidR="004A751E">
        <w:rPr>
          <w:rFonts w:cs="Times New Roman"/>
          <w:sz w:val="24"/>
          <w:szCs w:val="24"/>
        </w:rPr>
        <w:t>statutes</w:t>
      </w:r>
      <w:r w:rsidR="00AD0DED" w:rsidRPr="009014AE">
        <w:rPr>
          <w:rFonts w:cs="Times New Roman"/>
          <w:sz w:val="24"/>
          <w:szCs w:val="24"/>
        </w:rPr>
        <w:t xml:space="preserve"> and case law in its reasoning and in </w:t>
      </w:r>
      <w:r w:rsidR="0087246A">
        <w:rPr>
          <w:rFonts w:cs="Times New Roman"/>
          <w:sz w:val="24"/>
          <w:szCs w:val="24"/>
        </w:rPr>
        <w:t>its discussion</w:t>
      </w:r>
      <w:r w:rsidR="00DF031B">
        <w:rPr>
          <w:rFonts w:cs="Times New Roman"/>
          <w:sz w:val="24"/>
          <w:szCs w:val="24"/>
        </w:rPr>
        <w:t xml:space="preserve"> of</w:t>
      </w:r>
      <w:r w:rsidR="00AD0DED" w:rsidRPr="009014AE">
        <w:rPr>
          <w:rFonts w:cs="Times New Roman"/>
          <w:sz w:val="24"/>
          <w:szCs w:val="24"/>
        </w:rPr>
        <w:t xml:space="preserve"> </w:t>
      </w:r>
      <w:r w:rsidR="00313A40">
        <w:rPr>
          <w:rFonts w:cs="Times New Roman"/>
          <w:sz w:val="24"/>
          <w:szCs w:val="24"/>
        </w:rPr>
        <w:t>proper</w:t>
      </w:r>
      <w:r w:rsidR="00AD0DED" w:rsidRPr="009014AE">
        <w:rPr>
          <w:rFonts w:cs="Times New Roman"/>
          <w:sz w:val="24"/>
          <w:szCs w:val="24"/>
        </w:rPr>
        <w:t xml:space="preserve"> </w:t>
      </w:r>
      <w:r w:rsidR="00E31201">
        <w:rPr>
          <w:rFonts w:cs="Times New Roman"/>
          <w:sz w:val="24"/>
          <w:szCs w:val="24"/>
        </w:rPr>
        <w:t>motives</w:t>
      </w:r>
      <w:r w:rsidR="00AD0DED" w:rsidRPr="009014AE">
        <w:rPr>
          <w:rFonts w:cs="Times New Roman"/>
          <w:sz w:val="24"/>
          <w:szCs w:val="24"/>
        </w:rPr>
        <w:t xml:space="preserve"> behind </w:t>
      </w:r>
      <w:r w:rsidR="00E26CEB">
        <w:rPr>
          <w:rFonts w:cs="Times New Roman"/>
          <w:sz w:val="24"/>
          <w:szCs w:val="24"/>
        </w:rPr>
        <w:t>bylaws</w:t>
      </w:r>
      <w:r w:rsidR="00205590">
        <w:rPr>
          <w:rFonts w:cs="Times New Roman"/>
          <w:sz w:val="24"/>
          <w:szCs w:val="24"/>
        </w:rPr>
        <w:t xml:space="preserve"> generally</w:t>
      </w:r>
      <w:r w:rsidR="00AD0DED" w:rsidRPr="009014AE">
        <w:rPr>
          <w:rFonts w:cs="Times New Roman"/>
          <w:sz w:val="24"/>
          <w:szCs w:val="24"/>
        </w:rPr>
        <w:t>.</w:t>
      </w:r>
      <w:r w:rsidR="00BB1D72" w:rsidRPr="009014AE">
        <w:rPr>
          <w:rStyle w:val="FootnoteReference"/>
          <w:rFonts w:cs="Times New Roman"/>
          <w:sz w:val="24"/>
          <w:szCs w:val="24"/>
        </w:rPr>
        <w:footnoteReference w:id="53"/>
      </w:r>
      <w:r w:rsidR="00837232" w:rsidRPr="009014AE">
        <w:rPr>
          <w:rFonts w:cs="Times New Roman"/>
          <w:sz w:val="24"/>
          <w:szCs w:val="24"/>
        </w:rPr>
        <w:t xml:space="preserve"> </w:t>
      </w:r>
      <w:r w:rsidR="00B77C52" w:rsidRPr="009014AE">
        <w:rPr>
          <w:rFonts w:cs="Times New Roman"/>
          <w:sz w:val="24"/>
          <w:szCs w:val="24"/>
        </w:rPr>
        <w:t xml:space="preserve"> </w:t>
      </w:r>
      <w:r w:rsidR="00E11D9A">
        <w:rPr>
          <w:rFonts w:cs="Times New Roman"/>
          <w:sz w:val="24"/>
          <w:szCs w:val="24"/>
        </w:rPr>
        <w:t>However, b</w:t>
      </w:r>
      <w:r w:rsidR="00E11D9A" w:rsidRPr="00E11D9A">
        <w:rPr>
          <w:rFonts w:cs="Times New Roman"/>
          <w:sz w:val="24"/>
          <w:szCs w:val="24"/>
        </w:rPr>
        <w:t xml:space="preserve">ecause Justice Berger, </w:t>
      </w:r>
      <w:r w:rsidR="00E11D9A">
        <w:rPr>
          <w:rFonts w:cs="Times New Roman"/>
          <w:sz w:val="24"/>
          <w:szCs w:val="24"/>
        </w:rPr>
        <w:t>who</w:t>
      </w:r>
      <w:r w:rsidR="00E11D9A" w:rsidRPr="00E11D9A">
        <w:rPr>
          <w:rFonts w:cs="Times New Roman"/>
          <w:sz w:val="24"/>
          <w:szCs w:val="24"/>
        </w:rPr>
        <w:t xml:space="preserve"> author</w:t>
      </w:r>
      <w:r w:rsidR="00E11D9A">
        <w:rPr>
          <w:rFonts w:cs="Times New Roman"/>
          <w:sz w:val="24"/>
          <w:szCs w:val="24"/>
        </w:rPr>
        <w:t>ed</w:t>
      </w:r>
      <w:r w:rsidR="00E11D9A" w:rsidRPr="00E11D9A">
        <w:rPr>
          <w:rFonts w:cs="Times New Roman"/>
          <w:sz w:val="24"/>
          <w:szCs w:val="24"/>
        </w:rPr>
        <w:t xml:space="preserve"> </w:t>
      </w:r>
      <w:r w:rsidR="00E11D9A">
        <w:rPr>
          <w:rFonts w:cs="Times New Roman"/>
          <w:sz w:val="24"/>
          <w:szCs w:val="24"/>
        </w:rPr>
        <w:t xml:space="preserve">the opinion in </w:t>
      </w:r>
      <w:r w:rsidR="00E11D9A" w:rsidRPr="00E11D9A">
        <w:rPr>
          <w:rFonts w:cs="Times New Roman"/>
          <w:i/>
          <w:sz w:val="24"/>
          <w:szCs w:val="24"/>
        </w:rPr>
        <w:t>ATP Tour</w:t>
      </w:r>
      <w:r w:rsidR="00E11D9A" w:rsidRPr="00E11D9A">
        <w:rPr>
          <w:rFonts w:cs="Times New Roman"/>
          <w:sz w:val="24"/>
          <w:szCs w:val="24"/>
        </w:rPr>
        <w:t xml:space="preserve">, Justice Ridgely, and Justice Jacobs have since resigned, only two of the five Justices who decided the case </w:t>
      </w:r>
      <w:r w:rsidR="00E11D9A" w:rsidRPr="00C81D8D">
        <w:rPr>
          <w:rFonts w:cs="Times New Roman"/>
          <w:i/>
          <w:sz w:val="24"/>
          <w:szCs w:val="24"/>
        </w:rPr>
        <w:t>en banc</w:t>
      </w:r>
      <w:r w:rsidR="00E11D9A" w:rsidRPr="00E11D9A">
        <w:rPr>
          <w:rFonts w:cs="Times New Roman"/>
          <w:sz w:val="24"/>
          <w:szCs w:val="24"/>
        </w:rPr>
        <w:t xml:space="preserve"> remain with the Court.  Accordingly, the Court's analysis</w:t>
      </w:r>
      <w:r w:rsidR="00AC3B9A">
        <w:rPr>
          <w:rFonts w:cs="Times New Roman"/>
          <w:sz w:val="24"/>
          <w:szCs w:val="24"/>
        </w:rPr>
        <w:t xml:space="preserve"> in </w:t>
      </w:r>
      <w:r w:rsidR="00AC3B9A">
        <w:rPr>
          <w:rFonts w:cs="Times New Roman"/>
          <w:i/>
          <w:sz w:val="24"/>
          <w:szCs w:val="24"/>
        </w:rPr>
        <w:t>ATP Tour</w:t>
      </w:r>
      <w:r w:rsidR="00AC3B9A">
        <w:rPr>
          <w:rFonts w:cs="Times New Roman"/>
          <w:sz w:val="24"/>
          <w:szCs w:val="24"/>
        </w:rPr>
        <w:t xml:space="preserve"> may be less predictive than </w:t>
      </w:r>
      <w:r w:rsidR="00082874">
        <w:rPr>
          <w:rFonts w:cs="Times New Roman"/>
          <w:sz w:val="24"/>
          <w:szCs w:val="24"/>
        </w:rPr>
        <w:t>previously thought.</w:t>
      </w:r>
    </w:p>
    <w:p w14:paraId="375948E7" w14:textId="6D2D0C04" w:rsidR="00BD07A9" w:rsidRPr="009014AE" w:rsidRDefault="00082874" w:rsidP="00316553">
      <w:pPr>
        <w:widowControl w:val="0"/>
        <w:spacing w:line="480" w:lineRule="auto"/>
        <w:ind w:firstLine="720"/>
        <w:jc w:val="both"/>
        <w:rPr>
          <w:rFonts w:cs="Times New Roman"/>
          <w:sz w:val="24"/>
          <w:szCs w:val="24"/>
        </w:rPr>
      </w:pPr>
      <w:r>
        <w:rPr>
          <w:rFonts w:cs="Times New Roman"/>
          <w:sz w:val="24"/>
          <w:szCs w:val="24"/>
        </w:rPr>
        <w:t>For the sake of this analysis, however, t</w:t>
      </w:r>
      <w:r w:rsidR="003F678B" w:rsidRPr="009014AE">
        <w:rPr>
          <w:rFonts w:cs="Times New Roman"/>
          <w:sz w:val="24"/>
          <w:szCs w:val="24"/>
        </w:rPr>
        <w:t xml:space="preserve">his </w:t>
      </w:r>
      <w:r w:rsidR="00F102AF">
        <w:rPr>
          <w:rFonts w:cs="Times New Roman"/>
          <w:sz w:val="24"/>
          <w:szCs w:val="24"/>
        </w:rPr>
        <w:t>Note</w:t>
      </w:r>
      <w:r w:rsidR="003F678B" w:rsidRPr="009014AE">
        <w:rPr>
          <w:rFonts w:cs="Times New Roman"/>
          <w:sz w:val="24"/>
          <w:szCs w:val="24"/>
        </w:rPr>
        <w:t xml:space="preserve"> will </w:t>
      </w:r>
      <w:r w:rsidR="00C8539C" w:rsidRPr="009014AE">
        <w:rPr>
          <w:rFonts w:cs="Times New Roman"/>
          <w:sz w:val="24"/>
          <w:szCs w:val="24"/>
        </w:rPr>
        <w:t xml:space="preserve">assume that the </w:t>
      </w:r>
      <w:r w:rsidR="005336F3">
        <w:rPr>
          <w:rFonts w:cs="Times New Roman"/>
          <w:sz w:val="24"/>
          <w:szCs w:val="24"/>
        </w:rPr>
        <w:t xml:space="preserve">current </w:t>
      </w:r>
      <w:r w:rsidR="0062628A">
        <w:rPr>
          <w:rFonts w:cs="Times New Roman"/>
          <w:sz w:val="24"/>
          <w:szCs w:val="24"/>
        </w:rPr>
        <w:t xml:space="preserve">Court would apply its </w:t>
      </w:r>
      <w:r w:rsidR="00C8539C" w:rsidRPr="009014AE">
        <w:rPr>
          <w:rFonts w:cs="Times New Roman"/>
          <w:sz w:val="24"/>
          <w:szCs w:val="24"/>
        </w:rPr>
        <w:t xml:space="preserve">holding in </w:t>
      </w:r>
      <w:r w:rsidR="00C8539C" w:rsidRPr="009014AE">
        <w:rPr>
          <w:rFonts w:cs="Times New Roman"/>
          <w:i/>
          <w:sz w:val="24"/>
          <w:szCs w:val="24"/>
        </w:rPr>
        <w:t>ATP Tour</w:t>
      </w:r>
      <w:r w:rsidR="00C8539C" w:rsidRPr="009014AE">
        <w:rPr>
          <w:rFonts w:cs="Times New Roman"/>
          <w:sz w:val="24"/>
          <w:szCs w:val="24"/>
        </w:rPr>
        <w:t xml:space="preserve"> to profit corporations</w:t>
      </w:r>
      <w:r w:rsidR="00C83BF4" w:rsidRPr="009014AE">
        <w:rPr>
          <w:rFonts w:cs="Times New Roman"/>
          <w:sz w:val="24"/>
          <w:szCs w:val="24"/>
        </w:rPr>
        <w:t xml:space="preserve"> and cons</w:t>
      </w:r>
      <w:r w:rsidR="00834AE4" w:rsidRPr="009014AE">
        <w:rPr>
          <w:rFonts w:cs="Times New Roman"/>
          <w:sz w:val="24"/>
          <w:szCs w:val="24"/>
        </w:rPr>
        <w:t xml:space="preserve">ider: </w:t>
      </w:r>
      <w:r w:rsidR="00704BD4">
        <w:rPr>
          <w:rFonts w:cs="Times New Roman"/>
          <w:sz w:val="24"/>
          <w:szCs w:val="24"/>
        </w:rPr>
        <w:t>(</w:t>
      </w:r>
      <w:r w:rsidR="00834AE4" w:rsidRPr="009014AE">
        <w:rPr>
          <w:rFonts w:cs="Times New Roman"/>
          <w:sz w:val="24"/>
          <w:szCs w:val="24"/>
        </w:rPr>
        <w:t xml:space="preserve">1) the concerns raised by fee-shifting bylaws; </w:t>
      </w:r>
      <w:r w:rsidR="00704BD4">
        <w:rPr>
          <w:rFonts w:cs="Times New Roman"/>
          <w:sz w:val="24"/>
          <w:szCs w:val="24"/>
        </w:rPr>
        <w:t>(</w:t>
      </w:r>
      <w:r w:rsidR="00834AE4" w:rsidRPr="009014AE">
        <w:rPr>
          <w:rFonts w:cs="Times New Roman"/>
          <w:sz w:val="24"/>
          <w:szCs w:val="24"/>
        </w:rPr>
        <w:t xml:space="preserve">2) </w:t>
      </w:r>
      <w:r w:rsidR="004B6E4B" w:rsidRPr="009014AE">
        <w:rPr>
          <w:rFonts w:cs="Times New Roman"/>
          <w:sz w:val="24"/>
          <w:szCs w:val="24"/>
        </w:rPr>
        <w:t xml:space="preserve">the </w:t>
      </w:r>
      <w:r w:rsidR="00FB7ACB" w:rsidRPr="009014AE">
        <w:rPr>
          <w:rFonts w:cs="Times New Roman"/>
          <w:sz w:val="24"/>
          <w:szCs w:val="24"/>
        </w:rPr>
        <w:t>reasons why</w:t>
      </w:r>
      <w:r w:rsidR="00CE0423" w:rsidRPr="009014AE">
        <w:rPr>
          <w:rFonts w:cs="Times New Roman"/>
          <w:sz w:val="24"/>
          <w:szCs w:val="24"/>
        </w:rPr>
        <w:t xml:space="preserve"> corporations </w:t>
      </w:r>
      <w:r w:rsidR="00FB7ACB" w:rsidRPr="009014AE">
        <w:rPr>
          <w:rFonts w:cs="Times New Roman"/>
          <w:sz w:val="24"/>
          <w:szCs w:val="24"/>
        </w:rPr>
        <w:t>may seek to adopt them</w:t>
      </w:r>
      <w:r w:rsidR="00CE0423" w:rsidRPr="009014AE">
        <w:rPr>
          <w:rFonts w:cs="Times New Roman"/>
          <w:sz w:val="24"/>
          <w:szCs w:val="24"/>
        </w:rPr>
        <w:t xml:space="preserve">; and </w:t>
      </w:r>
      <w:r w:rsidR="00704BD4">
        <w:rPr>
          <w:rFonts w:cs="Times New Roman"/>
          <w:sz w:val="24"/>
          <w:szCs w:val="24"/>
        </w:rPr>
        <w:t>(</w:t>
      </w:r>
      <w:r w:rsidR="00CE0423" w:rsidRPr="009014AE">
        <w:rPr>
          <w:rFonts w:cs="Times New Roman"/>
          <w:sz w:val="24"/>
          <w:szCs w:val="24"/>
        </w:rPr>
        <w:t xml:space="preserve">3) </w:t>
      </w:r>
      <w:r w:rsidR="001A655F" w:rsidRPr="009014AE">
        <w:rPr>
          <w:rFonts w:cs="Times New Roman"/>
          <w:sz w:val="24"/>
          <w:szCs w:val="24"/>
        </w:rPr>
        <w:t xml:space="preserve">potential support for </w:t>
      </w:r>
      <w:r w:rsidR="00FB7ACB" w:rsidRPr="009014AE">
        <w:rPr>
          <w:rFonts w:cs="Times New Roman"/>
          <w:sz w:val="24"/>
          <w:szCs w:val="24"/>
        </w:rPr>
        <w:t xml:space="preserve">and against </w:t>
      </w:r>
      <w:r w:rsidR="00924AE1" w:rsidRPr="009014AE">
        <w:rPr>
          <w:rFonts w:cs="Times New Roman"/>
          <w:sz w:val="24"/>
          <w:szCs w:val="24"/>
        </w:rPr>
        <w:t>such bylaws in common and statutory law.</w:t>
      </w:r>
    </w:p>
    <w:p w14:paraId="70E91C5A" w14:textId="0187AE78" w:rsidR="007B7A19" w:rsidRPr="00021DB6" w:rsidRDefault="007C57EB" w:rsidP="00021DB6">
      <w:pPr>
        <w:pStyle w:val="Heading2"/>
      </w:pPr>
      <w:r w:rsidRPr="00021DB6">
        <w:t>C</w:t>
      </w:r>
      <w:r w:rsidR="004343AF" w:rsidRPr="00021DB6">
        <w:t>oncern</w:t>
      </w:r>
      <w:r w:rsidR="00584245" w:rsidRPr="00021DB6">
        <w:t>s Raised by Fee-Shifting Bylaws</w:t>
      </w:r>
    </w:p>
    <w:p w14:paraId="4DDB4BB0" w14:textId="452ADDEE" w:rsidR="00FD0718" w:rsidRPr="0095634D" w:rsidRDefault="00320708" w:rsidP="00316553">
      <w:pPr>
        <w:widowControl w:val="0"/>
        <w:spacing w:line="480" w:lineRule="auto"/>
        <w:ind w:firstLine="720"/>
        <w:jc w:val="both"/>
        <w:rPr>
          <w:rFonts w:cs="Times New Roman"/>
          <w:sz w:val="24"/>
          <w:szCs w:val="24"/>
        </w:rPr>
      </w:pPr>
      <w:r>
        <w:rPr>
          <w:rFonts w:cs="Times New Roman"/>
          <w:sz w:val="24"/>
          <w:szCs w:val="24"/>
        </w:rPr>
        <w:t>As discussed above,</w:t>
      </w:r>
      <w:r>
        <w:rPr>
          <w:rStyle w:val="FootnoteReference"/>
          <w:rFonts w:cs="Times New Roman"/>
          <w:sz w:val="24"/>
          <w:szCs w:val="24"/>
        </w:rPr>
        <w:footnoteReference w:id="54"/>
      </w:r>
      <w:r>
        <w:rPr>
          <w:rFonts w:cs="Times New Roman"/>
          <w:sz w:val="24"/>
          <w:szCs w:val="24"/>
        </w:rPr>
        <w:t xml:space="preserve"> t</w:t>
      </w:r>
      <w:r w:rsidR="00C85256">
        <w:rPr>
          <w:rFonts w:cs="Times New Roman"/>
          <w:sz w:val="24"/>
          <w:szCs w:val="24"/>
        </w:rPr>
        <w:t xml:space="preserve">he negative response to </w:t>
      </w:r>
      <w:r w:rsidR="0095634D">
        <w:rPr>
          <w:rFonts w:cs="Times New Roman"/>
          <w:i/>
          <w:sz w:val="24"/>
          <w:szCs w:val="24"/>
        </w:rPr>
        <w:t>ATP Tour</w:t>
      </w:r>
      <w:r w:rsidR="0095634D">
        <w:rPr>
          <w:rFonts w:cs="Times New Roman"/>
          <w:sz w:val="24"/>
          <w:szCs w:val="24"/>
        </w:rPr>
        <w:t xml:space="preserve"> </w:t>
      </w:r>
      <w:r w:rsidR="003F5F32">
        <w:rPr>
          <w:rFonts w:cs="Times New Roman"/>
          <w:sz w:val="24"/>
          <w:szCs w:val="24"/>
        </w:rPr>
        <w:t xml:space="preserve">has been strong and swift.  </w:t>
      </w:r>
      <w:r w:rsidR="002B2A9F">
        <w:rPr>
          <w:rFonts w:cs="Times New Roman"/>
          <w:sz w:val="24"/>
          <w:szCs w:val="24"/>
        </w:rPr>
        <w:t>The</w:t>
      </w:r>
      <w:r w:rsidR="00A57A3C">
        <w:rPr>
          <w:rFonts w:cs="Times New Roman"/>
          <w:sz w:val="24"/>
          <w:szCs w:val="24"/>
        </w:rPr>
        <w:t xml:space="preserve"> </w:t>
      </w:r>
      <w:r w:rsidR="00A650BC">
        <w:rPr>
          <w:rFonts w:cs="Times New Roman"/>
          <w:sz w:val="24"/>
          <w:szCs w:val="24"/>
        </w:rPr>
        <w:t xml:space="preserve">two </w:t>
      </w:r>
      <w:r w:rsidR="000E046F">
        <w:rPr>
          <w:rFonts w:cs="Times New Roman"/>
          <w:sz w:val="24"/>
          <w:szCs w:val="24"/>
        </w:rPr>
        <w:t xml:space="preserve">main arguments against </w:t>
      </w:r>
      <w:r w:rsidR="004842CD">
        <w:rPr>
          <w:rFonts w:cs="Times New Roman"/>
          <w:sz w:val="24"/>
          <w:szCs w:val="24"/>
        </w:rPr>
        <w:t xml:space="preserve">the </w:t>
      </w:r>
      <w:r w:rsidR="002635BE">
        <w:rPr>
          <w:rFonts w:cs="Times New Roman"/>
          <w:sz w:val="24"/>
          <w:szCs w:val="24"/>
        </w:rPr>
        <w:t>C</w:t>
      </w:r>
      <w:r w:rsidR="004842CD">
        <w:rPr>
          <w:rFonts w:cs="Times New Roman"/>
          <w:sz w:val="24"/>
          <w:szCs w:val="24"/>
        </w:rPr>
        <w:t>ourt's decision have been</w:t>
      </w:r>
      <w:r w:rsidR="002B2A9F">
        <w:rPr>
          <w:rFonts w:cs="Times New Roman"/>
          <w:sz w:val="24"/>
          <w:szCs w:val="24"/>
        </w:rPr>
        <w:t xml:space="preserve"> </w:t>
      </w:r>
      <w:r w:rsidR="002C0DD4">
        <w:rPr>
          <w:rFonts w:cs="Times New Roman"/>
          <w:sz w:val="24"/>
          <w:szCs w:val="24"/>
        </w:rPr>
        <w:t>(</w:t>
      </w:r>
      <w:r w:rsidR="002B2A9F">
        <w:rPr>
          <w:rFonts w:cs="Times New Roman"/>
          <w:sz w:val="24"/>
          <w:szCs w:val="24"/>
        </w:rPr>
        <w:t>1)</w:t>
      </w:r>
      <w:r w:rsidR="004842CD">
        <w:rPr>
          <w:rFonts w:cs="Times New Roman"/>
          <w:sz w:val="24"/>
          <w:szCs w:val="24"/>
        </w:rPr>
        <w:t xml:space="preserve"> </w:t>
      </w:r>
      <w:r w:rsidR="002B2A9F">
        <w:rPr>
          <w:rFonts w:cs="Times New Roman"/>
          <w:sz w:val="24"/>
          <w:szCs w:val="24"/>
        </w:rPr>
        <w:t>the potential</w:t>
      </w:r>
      <w:r w:rsidR="00BA5FD9">
        <w:rPr>
          <w:rFonts w:cs="Times New Roman"/>
          <w:sz w:val="24"/>
          <w:szCs w:val="24"/>
        </w:rPr>
        <w:t xml:space="preserve"> chil</w:t>
      </w:r>
      <w:r w:rsidR="009C4DC5">
        <w:rPr>
          <w:rFonts w:cs="Times New Roman"/>
          <w:sz w:val="24"/>
          <w:szCs w:val="24"/>
        </w:rPr>
        <w:t>l to meritorious litigation and</w:t>
      </w:r>
      <w:r w:rsidR="00851734">
        <w:rPr>
          <w:rFonts w:cs="Times New Roman"/>
          <w:sz w:val="24"/>
          <w:szCs w:val="24"/>
        </w:rPr>
        <w:t xml:space="preserve"> </w:t>
      </w:r>
      <w:r w:rsidR="002C0DD4">
        <w:rPr>
          <w:rFonts w:cs="Times New Roman"/>
          <w:sz w:val="24"/>
          <w:szCs w:val="24"/>
        </w:rPr>
        <w:t>(</w:t>
      </w:r>
      <w:r w:rsidR="00851734">
        <w:rPr>
          <w:rFonts w:cs="Times New Roman"/>
          <w:sz w:val="24"/>
          <w:szCs w:val="24"/>
        </w:rPr>
        <w:t xml:space="preserve">2) </w:t>
      </w:r>
      <w:r w:rsidR="00BA5FD9">
        <w:rPr>
          <w:rFonts w:cs="Times New Roman"/>
          <w:sz w:val="24"/>
          <w:szCs w:val="24"/>
        </w:rPr>
        <w:t xml:space="preserve">the </w:t>
      </w:r>
      <w:r w:rsidR="00660A40">
        <w:rPr>
          <w:rFonts w:cs="Times New Roman"/>
          <w:sz w:val="24"/>
          <w:szCs w:val="24"/>
        </w:rPr>
        <w:t xml:space="preserve">exposure of stockholders to liability without their express consent. </w:t>
      </w:r>
    </w:p>
    <w:p w14:paraId="42BC96E4" w14:textId="54617A1A" w:rsidR="002927F8" w:rsidRDefault="004654D4" w:rsidP="00316553">
      <w:pPr>
        <w:widowControl w:val="0"/>
        <w:spacing w:line="480" w:lineRule="auto"/>
        <w:ind w:firstLine="720"/>
        <w:jc w:val="both"/>
        <w:rPr>
          <w:rFonts w:cs="Times New Roman"/>
          <w:sz w:val="24"/>
          <w:szCs w:val="24"/>
        </w:rPr>
      </w:pPr>
      <w:r>
        <w:rPr>
          <w:rFonts w:cs="Times New Roman"/>
          <w:sz w:val="24"/>
          <w:szCs w:val="24"/>
        </w:rPr>
        <w:t>First,</w:t>
      </w:r>
      <w:r w:rsidR="008560FE" w:rsidRPr="009014AE">
        <w:rPr>
          <w:rFonts w:cs="Times New Roman"/>
          <w:sz w:val="24"/>
          <w:szCs w:val="24"/>
        </w:rPr>
        <w:t xml:space="preserve"> fee-</w:t>
      </w:r>
      <w:r w:rsidR="00177948" w:rsidRPr="009014AE">
        <w:rPr>
          <w:rFonts w:cs="Times New Roman"/>
          <w:sz w:val="24"/>
          <w:szCs w:val="24"/>
        </w:rPr>
        <w:t xml:space="preserve">shifting bylaws </w:t>
      </w:r>
      <w:r w:rsidR="00FF7DD5">
        <w:rPr>
          <w:rFonts w:cs="Times New Roman"/>
          <w:sz w:val="24"/>
          <w:szCs w:val="24"/>
        </w:rPr>
        <w:t xml:space="preserve">may </w:t>
      </w:r>
      <w:r w:rsidR="000E2798" w:rsidRPr="009014AE">
        <w:rPr>
          <w:rFonts w:cs="Times New Roman"/>
          <w:sz w:val="24"/>
          <w:szCs w:val="24"/>
        </w:rPr>
        <w:t xml:space="preserve">expose plaintiff stockholders to such a high risk of liability </w:t>
      </w:r>
      <w:r w:rsidR="00F103A5" w:rsidRPr="009014AE">
        <w:rPr>
          <w:rFonts w:cs="Times New Roman"/>
          <w:sz w:val="24"/>
          <w:szCs w:val="24"/>
        </w:rPr>
        <w:t xml:space="preserve">that no </w:t>
      </w:r>
      <w:r w:rsidR="000C6FBC" w:rsidRPr="009014AE">
        <w:rPr>
          <w:rFonts w:cs="Times New Roman"/>
          <w:sz w:val="24"/>
          <w:szCs w:val="24"/>
        </w:rPr>
        <w:t xml:space="preserve">stockholder would be willing to bring </w:t>
      </w:r>
      <w:r w:rsidR="00773EDC" w:rsidRPr="009014AE">
        <w:rPr>
          <w:rFonts w:cs="Times New Roman"/>
          <w:sz w:val="24"/>
          <w:szCs w:val="24"/>
        </w:rPr>
        <w:t>even legitimate claims.</w:t>
      </w:r>
      <w:r w:rsidR="009014AE">
        <w:rPr>
          <w:rStyle w:val="FootnoteReference"/>
          <w:rFonts w:cs="Times New Roman"/>
          <w:sz w:val="24"/>
          <w:szCs w:val="24"/>
        </w:rPr>
        <w:footnoteReference w:id="55"/>
      </w:r>
      <w:r w:rsidR="00F1774F" w:rsidRPr="009014AE">
        <w:rPr>
          <w:rFonts w:cs="Times New Roman"/>
          <w:sz w:val="24"/>
          <w:szCs w:val="24"/>
        </w:rPr>
        <w:t xml:space="preserve">  </w:t>
      </w:r>
      <w:r w:rsidR="004567B9">
        <w:rPr>
          <w:rFonts w:cs="Times New Roman"/>
          <w:sz w:val="24"/>
          <w:szCs w:val="24"/>
        </w:rPr>
        <w:t>Where</w:t>
      </w:r>
      <w:r w:rsidR="008F7658">
        <w:rPr>
          <w:rFonts w:cs="Times New Roman"/>
          <w:sz w:val="24"/>
          <w:szCs w:val="24"/>
        </w:rPr>
        <w:t xml:space="preserve"> stockholders have already brought suit against </w:t>
      </w:r>
      <w:r w:rsidR="006C7E3F">
        <w:rPr>
          <w:rFonts w:cs="Times New Roman"/>
          <w:sz w:val="24"/>
          <w:szCs w:val="24"/>
        </w:rPr>
        <w:t>a</w:t>
      </w:r>
      <w:r w:rsidR="008F7658">
        <w:rPr>
          <w:rFonts w:cs="Times New Roman"/>
          <w:sz w:val="24"/>
          <w:szCs w:val="24"/>
        </w:rPr>
        <w:t xml:space="preserve"> corporation, </w:t>
      </w:r>
      <w:r w:rsidR="00DC0B4D">
        <w:rPr>
          <w:rFonts w:cs="Times New Roman"/>
          <w:sz w:val="24"/>
          <w:szCs w:val="24"/>
        </w:rPr>
        <w:t>the</w:t>
      </w:r>
      <w:r w:rsidR="008F7658">
        <w:rPr>
          <w:rFonts w:cs="Times New Roman"/>
          <w:sz w:val="24"/>
          <w:szCs w:val="24"/>
        </w:rPr>
        <w:t xml:space="preserve"> board might adopt such a bylaw in order to gain leverage over the plaintiffs.</w:t>
      </w:r>
      <w:r w:rsidR="008F7658">
        <w:rPr>
          <w:rStyle w:val="FootnoteReference"/>
          <w:rFonts w:cs="Times New Roman"/>
          <w:sz w:val="24"/>
          <w:szCs w:val="24"/>
        </w:rPr>
        <w:footnoteReference w:id="56"/>
      </w:r>
      <w:r w:rsidR="008F7658">
        <w:rPr>
          <w:rFonts w:cs="Times New Roman"/>
          <w:sz w:val="24"/>
          <w:szCs w:val="24"/>
        </w:rPr>
        <w:t xml:space="preserve">  </w:t>
      </w:r>
      <w:r w:rsidR="00202957">
        <w:rPr>
          <w:rFonts w:cs="Times New Roman"/>
          <w:sz w:val="24"/>
          <w:szCs w:val="24"/>
        </w:rPr>
        <w:t>I</w:t>
      </w:r>
      <w:r w:rsidR="0088633D" w:rsidRPr="009014AE">
        <w:rPr>
          <w:rFonts w:cs="Times New Roman"/>
          <w:sz w:val="24"/>
          <w:szCs w:val="24"/>
        </w:rPr>
        <w:t xml:space="preserve">n order </w:t>
      </w:r>
      <w:r w:rsidR="00F948DE">
        <w:rPr>
          <w:rFonts w:cs="Times New Roman"/>
          <w:sz w:val="24"/>
          <w:szCs w:val="24"/>
        </w:rPr>
        <w:t xml:space="preserve">for plaintiffs </w:t>
      </w:r>
      <w:r w:rsidR="0088633D" w:rsidRPr="009014AE">
        <w:rPr>
          <w:rFonts w:cs="Times New Roman"/>
          <w:sz w:val="24"/>
          <w:szCs w:val="24"/>
        </w:rPr>
        <w:t xml:space="preserve">to avoid being </w:t>
      </w:r>
      <w:r w:rsidR="00FF0994">
        <w:rPr>
          <w:rFonts w:cs="Times New Roman"/>
          <w:sz w:val="24"/>
          <w:szCs w:val="24"/>
        </w:rPr>
        <w:t>responsible</w:t>
      </w:r>
      <w:r w:rsidR="008B6FD4">
        <w:rPr>
          <w:rFonts w:cs="Times New Roman"/>
          <w:sz w:val="24"/>
          <w:szCs w:val="24"/>
        </w:rPr>
        <w:t xml:space="preserve"> for</w:t>
      </w:r>
      <w:r w:rsidR="00563B3D" w:rsidRPr="009014AE">
        <w:rPr>
          <w:rFonts w:cs="Times New Roman"/>
          <w:sz w:val="24"/>
          <w:szCs w:val="24"/>
        </w:rPr>
        <w:t xml:space="preserve"> the corporation's legal expenses, such bylaws require that the plaintiff stockholders </w:t>
      </w:r>
      <w:r w:rsidR="00044556">
        <w:rPr>
          <w:rFonts w:cs="Times New Roman"/>
          <w:sz w:val="24"/>
          <w:szCs w:val="24"/>
        </w:rPr>
        <w:t>"</w:t>
      </w:r>
      <w:r w:rsidR="00563B3D" w:rsidRPr="009014AE">
        <w:rPr>
          <w:rFonts w:cs="Times New Roman"/>
          <w:sz w:val="24"/>
          <w:szCs w:val="24"/>
        </w:rPr>
        <w:t>obtain a judgment on the merits that substantially achieves, in substance and amount, the full remedy sought.</w:t>
      </w:r>
      <w:r w:rsidR="00044556">
        <w:rPr>
          <w:rFonts w:cs="Times New Roman"/>
          <w:sz w:val="24"/>
          <w:szCs w:val="24"/>
        </w:rPr>
        <w:t>"</w:t>
      </w:r>
      <w:r w:rsidR="00513E35" w:rsidRPr="009014AE">
        <w:rPr>
          <w:rStyle w:val="FootnoteReference"/>
          <w:rFonts w:cs="Times New Roman"/>
          <w:sz w:val="24"/>
          <w:szCs w:val="24"/>
        </w:rPr>
        <w:footnoteReference w:id="57"/>
      </w:r>
      <w:r w:rsidR="00513E35" w:rsidRPr="009014AE">
        <w:rPr>
          <w:rFonts w:cs="Times New Roman"/>
          <w:sz w:val="24"/>
          <w:szCs w:val="24"/>
        </w:rPr>
        <w:t xml:space="preserve">  </w:t>
      </w:r>
      <w:r w:rsidR="00EC7E73" w:rsidRPr="009014AE">
        <w:rPr>
          <w:rFonts w:cs="Times New Roman"/>
          <w:sz w:val="24"/>
          <w:szCs w:val="24"/>
        </w:rPr>
        <w:t xml:space="preserve">A strict reading of this provision </w:t>
      </w:r>
      <w:r w:rsidR="00E677C3" w:rsidRPr="009014AE">
        <w:rPr>
          <w:rFonts w:cs="Times New Roman"/>
          <w:sz w:val="24"/>
          <w:szCs w:val="24"/>
        </w:rPr>
        <w:t>leads to frightening results</w:t>
      </w:r>
      <w:r w:rsidR="009D7595" w:rsidRPr="009014AE">
        <w:rPr>
          <w:rFonts w:cs="Times New Roman"/>
          <w:sz w:val="24"/>
          <w:szCs w:val="24"/>
        </w:rPr>
        <w:t xml:space="preserve">.  </w:t>
      </w:r>
      <w:r w:rsidR="002927F8">
        <w:rPr>
          <w:rFonts w:cs="Times New Roman"/>
          <w:sz w:val="24"/>
          <w:szCs w:val="24"/>
        </w:rPr>
        <w:t xml:space="preserve">As the Third Circuit noted in an opinion in the </w:t>
      </w:r>
      <w:r w:rsidR="002927F8">
        <w:rPr>
          <w:rFonts w:cs="Times New Roman"/>
          <w:i/>
          <w:sz w:val="24"/>
          <w:szCs w:val="24"/>
        </w:rPr>
        <w:t>ATP Tour</w:t>
      </w:r>
      <w:r w:rsidR="002927F8">
        <w:rPr>
          <w:rFonts w:cs="Times New Roman"/>
          <w:sz w:val="24"/>
          <w:szCs w:val="24"/>
        </w:rPr>
        <w:t xml:space="preserve"> litigation:</w:t>
      </w:r>
    </w:p>
    <w:p w14:paraId="7CDF19D1" w14:textId="1A56CF13" w:rsidR="002927F8" w:rsidRPr="002927F8" w:rsidRDefault="002927F8" w:rsidP="00316553">
      <w:pPr>
        <w:widowControl w:val="0"/>
        <w:spacing w:after="240"/>
        <w:ind w:left="1440" w:right="720"/>
        <w:jc w:val="both"/>
        <w:rPr>
          <w:rFonts w:cs="Times New Roman"/>
          <w:sz w:val="24"/>
          <w:szCs w:val="24"/>
        </w:rPr>
      </w:pPr>
      <w:r w:rsidRPr="002927F8">
        <w:rPr>
          <w:rFonts w:cs="Times New Roman"/>
          <w:sz w:val="24"/>
          <w:szCs w:val="24"/>
        </w:rPr>
        <w:t xml:space="preserve">This is not your average fee-shifting provision. </w:t>
      </w:r>
      <w:r>
        <w:rPr>
          <w:rFonts w:cs="Times New Roman"/>
          <w:sz w:val="24"/>
          <w:szCs w:val="24"/>
        </w:rPr>
        <w:t xml:space="preserve"> </w:t>
      </w:r>
      <w:r w:rsidRPr="002927F8">
        <w:rPr>
          <w:rFonts w:cs="Times New Roman"/>
          <w:sz w:val="24"/>
          <w:szCs w:val="24"/>
        </w:rPr>
        <w:t xml:space="preserve">Its language seems to suggest that a plaintiff would have to pay the defendant's fees even if the plaintiff receives a favorable settlement, because the plaintiff in such a case failed to 'obtain a judgment on the merits.' . . . </w:t>
      </w:r>
      <w:r>
        <w:rPr>
          <w:rFonts w:cs="Times New Roman"/>
          <w:sz w:val="24"/>
          <w:szCs w:val="24"/>
        </w:rPr>
        <w:t xml:space="preserve"> </w:t>
      </w:r>
      <w:r w:rsidRPr="002927F8">
        <w:rPr>
          <w:rFonts w:cs="Times New Roman"/>
          <w:sz w:val="24"/>
          <w:szCs w:val="24"/>
        </w:rPr>
        <w:t>[I]f a plaintiff prevailed at trial and won $10,000,000, but sought $20,000,000, this by-law theoretically could require the plaintiff to p</w:t>
      </w:r>
      <w:r>
        <w:rPr>
          <w:rFonts w:cs="Times New Roman"/>
          <w:sz w:val="24"/>
          <w:szCs w:val="24"/>
        </w:rPr>
        <w:t>ay the defendant's fees</w:t>
      </w:r>
      <w:r w:rsidR="004F523A">
        <w:rPr>
          <w:rFonts w:cs="Times New Roman"/>
          <w:sz w:val="24"/>
          <w:szCs w:val="24"/>
        </w:rPr>
        <w:t> </w:t>
      </w:r>
      <w:r>
        <w:rPr>
          <w:rFonts w:cs="Times New Roman"/>
          <w:sz w:val="24"/>
          <w:szCs w:val="24"/>
        </w:rPr>
        <w:t>.</w:t>
      </w:r>
      <w:r w:rsidR="004F523A">
        <w:rPr>
          <w:rFonts w:cs="Times New Roman"/>
          <w:sz w:val="24"/>
          <w:szCs w:val="24"/>
        </w:rPr>
        <w:t> </w:t>
      </w:r>
      <w:r>
        <w:rPr>
          <w:rFonts w:cs="Times New Roman"/>
          <w:sz w:val="24"/>
          <w:szCs w:val="24"/>
        </w:rPr>
        <w:t>.</w:t>
      </w:r>
      <w:r w:rsidR="004F523A">
        <w:rPr>
          <w:rFonts w:cs="Times New Roman"/>
          <w:sz w:val="24"/>
          <w:szCs w:val="24"/>
        </w:rPr>
        <w:t> </w:t>
      </w:r>
      <w:r>
        <w:rPr>
          <w:rFonts w:cs="Times New Roman"/>
          <w:sz w:val="24"/>
          <w:szCs w:val="24"/>
        </w:rPr>
        <w:t>.</w:t>
      </w:r>
      <w:r w:rsidR="004F523A">
        <w:rPr>
          <w:rFonts w:cs="Times New Roman"/>
          <w:sz w:val="24"/>
          <w:szCs w:val="24"/>
        </w:rPr>
        <w:t> </w:t>
      </w:r>
      <w:r w:rsidR="0070399E">
        <w:rPr>
          <w:rFonts w:cs="Times New Roman"/>
          <w:sz w:val="24"/>
          <w:szCs w:val="24"/>
        </w:rPr>
        <w:t>.</w:t>
      </w:r>
      <w:r>
        <w:rPr>
          <w:rStyle w:val="FootnoteReference"/>
          <w:rFonts w:cs="Times New Roman"/>
          <w:sz w:val="24"/>
          <w:szCs w:val="24"/>
        </w:rPr>
        <w:footnoteReference w:id="58"/>
      </w:r>
    </w:p>
    <w:p w14:paraId="349FEF03" w14:textId="64E9172B" w:rsidR="00281430" w:rsidRPr="009014AE" w:rsidRDefault="00264690" w:rsidP="00316553">
      <w:pPr>
        <w:widowControl w:val="0"/>
        <w:spacing w:line="480" w:lineRule="auto"/>
        <w:jc w:val="both"/>
        <w:rPr>
          <w:rFonts w:cs="Times New Roman"/>
          <w:sz w:val="24"/>
          <w:szCs w:val="24"/>
        </w:rPr>
      </w:pPr>
      <w:r w:rsidRPr="009014AE">
        <w:rPr>
          <w:rFonts w:cs="Times New Roman"/>
          <w:sz w:val="24"/>
          <w:szCs w:val="24"/>
        </w:rPr>
        <w:t xml:space="preserve">Meanwhile, a judgment on the merits </w:t>
      </w:r>
      <w:r w:rsidR="00174F06" w:rsidRPr="009014AE">
        <w:rPr>
          <w:rFonts w:cs="Times New Roman"/>
          <w:sz w:val="24"/>
          <w:szCs w:val="24"/>
        </w:rPr>
        <w:t xml:space="preserve">for </w:t>
      </w:r>
      <w:r w:rsidR="00CE0EAB">
        <w:rPr>
          <w:rFonts w:cs="Times New Roman"/>
          <w:sz w:val="24"/>
          <w:szCs w:val="24"/>
        </w:rPr>
        <w:t>all but one of the plaintiff's</w:t>
      </w:r>
      <w:r w:rsidR="00174F06" w:rsidRPr="009014AE">
        <w:rPr>
          <w:rFonts w:cs="Times New Roman"/>
          <w:sz w:val="24"/>
          <w:szCs w:val="24"/>
        </w:rPr>
        <w:t xml:space="preserve"> claims </w:t>
      </w:r>
      <w:r w:rsidRPr="009014AE">
        <w:rPr>
          <w:rFonts w:cs="Times New Roman"/>
          <w:sz w:val="24"/>
          <w:szCs w:val="24"/>
        </w:rPr>
        <w:t>would be meaningless or even detrimental</w:t>
      </w:r>
      <w:r w:rsidR="00174F06" w:rsidRPr="009014AE">
        <w:rPr>
          <w:rFonts w:cs="Times New Roman"/>
          <w:sz w:val="24"/>
          <w:szCs w:val="24"/>
        </w:rPr>
        <w:t xml:space="preserve">.  </w:t>
      </w:r>
      <w:r w:rsidR="00272877" w:rsidRPr="009014AE">
        <w:rPr>
          <w:rFonts w:cs="Times New Roman"/>
          <w:sz w:val="24"/>
          <w:szCs w:val="24"/>
        </w:rPr>
        <w:t>These potenti</w:t>
      </w:r>
      <w:r w:rsidR="00995FF8" w:rsidRPr="009014AE">
        <w:rPr>
          <w:rFonts w:cs="Times New Roman"/>
          <w:sz w:val="24"/>
          <w:szCs w:val="24"/>
        </w:rPr>
        <w:t xml:space="preserve">al and foreseeable outcomes </w:t>
      </w:r>
      <w:r w:rsidR="00281430" w:rsidRPr="009014AE">
        <w:rPr>
          <w:rFonts w:cs="Times New Roman"/>
          <w:sz w:val="24"/>
          <w:szCs w:val="24"/>
        </w:rPr>
        <w:t>may prevent stockholders from filing suit—</w:t>
      </w:r>
      <w:r w:rsidR="00586F7A">
        <w:rPr>
          <w:rFonts w:cs="Times New Roman"/>
          <w:sz w:val="24"/>
          <w:szCs w:val="24"/>
        </w:rPr>
        <w:t>no matter how strong their</w:t>
      </w:r>
      <w:r w:rsidR="00281430" w:rsidRPr="009014AE">
        <w:rPr>
          <w:rFonts w:cs="Times New Roman"/>
          <w:sz w:val="24"/>
          <w:szCs w:val="24"/>
        </w:rPr>
        <w:t xml:space="preserve"> claims.</w:t>
      </w:r>
      <w:r w:rsidR="00062E43" w:rsidRPr="009014AE">
        <w:rPr>
          <w:rStyle w:val="FootnoteReference"/>
          <w:rFonts w:cs="Times New Roman"/>
          <w:sz w:val="24"/>
          <w:szCs w:val="24"/>
        </w:rPr>
        <w:footnoteReference w:id="59"/>
      </w:r>
    </w:p>
    <w:p w14:paraId="104F66B8" w14:textId="02B776CA" w:rsidR="009C243A" w:rsidRPr="009014AE" w:rsidRDefault="00A102A8" w:rsidP="00316553">
      <w:pPr>
        <w:widowControl w:val="0"/>
        <w:spacing w:line="480" w:lineRule="auto"/>
        <w:ind w:firstLine="720"/>
        <w:jc w:val="both"/>
        <w:rPr>
          <w:rFonts w:cs="Times New Roman"/>
          <w:sz w:val="24"/>
          <w:szCs w:val="24"/>
        </w:rPr>
      </w:pPr>
      <w:r w:rsidRPr="009014AE">
        <w:rPr>
          <w:rFonts w:cs="Times New Roman"/>
          <w:sz w:val="24"/>
          <w:szCs w:val="24"/>
        </w:rPr>
        <w:t>S</w:t>
      </w:r>
      <w:r w:rsidR="006D72FA" w:rsidRPr="009014AE">
        <w:rPr>
          <w:rFonts w:cs="Times New Roman"/>
          <w:sz w:val="24"/>
          <w:szCs w:val="24"/>
        </w:rPr>
        <w:t xml:space="preserve">uppression of </w:t>
      </w:r>
      <w:r w:rsidR="00CB28E6" w:rsidRPr="009014AE">
        <w:rPr>
          <w:rFonts w:cs="Times New Roman"/>
          <w:sz w:val="24"/>
          <w:szCs w:val="24"/>
        </w:rPr>
        <w:t xml:space="preserve">litigation is cause for concern </w:t>
      </w:r>
      <w:r w:rsidR="00446908" w:rsidRPr="009014AE">
        <w:rPr>
          <w:rFonts w:cs="Times New Roman"/>
          <w:sz w:val="24"/>
          <w:szCs w:val="24"/>
        </w:rPr>
        <w:t xml:space="preserve">beyond </w:t>
      </w:r>
      <w:r w:rsidR="00333B2B" w:rsidRPr="009014AE">
        <w:rPr>
          <w:rFonts w:cs="Times New Roman"/>
          <w:sz w:val="24"/>
          <w:szCs w:val="24"/>
        </w:rPr>
        <w:t>the immediate impact on</w:t>
      </w:r>
      <w:r w:rsidR="00446908" w:rsidRPr="009014AE">
        <w:rPr>
          <w:rFonts w:cs="Times New Roman"/>
          <w:sz w:val="24"/>
          <w:szCs w:val="24"/>
        </w:rPr>
        <w:t xml:space="preserve"> </w:t>
      </w:r>
      <w:r w:rsidR="0004149A" w:rsidRPr="009014AE">
        <w:rPr>
          <w:rFonts w:cs="Times New Roman"/>
          <w:sz w:val="24"/>
          <w:szCs w:val="24"/>
        </w:rPr>
        <w:t>plaintiff</w:t>
      </w:r>
      <w:r w:rsidR="00007E67" w:rsidRPr="009014AE">
        <w:rPr>
          <w:rFonts w:cs="Times New Roman"/>
          <w:sz w:val="24"/>
          <w:szCs w:val="24"/>
        </w:rPr>
        <w:t xml:space="preserve"> </w:t>
      </w:r>
      <w:r w:rsidR="00446908" w:rsidRPr="009014AE">
        <w:rPr>
          <w:rFonts w:cs="Times New Roman"/>
          <w:sz w:val="24"/>
          <w:szCs w:val="24"/>
        </w:rPr>
        <w:t>stockholders</w:t>
      </w:r>
      <w:r w:rsidR="003B0FCE" w:rsidRPr="009014AE">
        <w:rPr>
          <w:rFonts w:cs="Times New Roman"/>
          <w:sz w:val="24"/>
          <w:szCs w:val="24"/>
        </w:rPr>
        <w:t xml:space="preserve">. </w:t>
      </w:r>
      <w:r w:rsidR="00063FF7" w:rsidRPr="009014AE">
        <w:rPr>
          <w:rFonts w:cs="Times New Roman"/>
          <w:sz w:val="24"/>
          <w:szCs w:val="24"/>
        </w:rPr>
        <w:t xml:space="preserve"> </w:t>
      </w:r>
      <w:r w:rsidR="00C0504A" w:rsidRPr="009014AE">
        <w:rPr>
          <w:rFonts w:cs="Times New Roman"/>
          <w:sz w:val="24"/>
          <w:szCs w:val="24"/>
        </w:rPr>
        <w:t>A</w:t>
      </w:r>
      <w:r w:rsidR="00CC0C96" w:rsidRPr="009014AE">
        <w:rPr>
          <w:rFonts w:cs="Times New Roman"/>
          <w:sz w:val="24"/>
          <w:szCs w:val="24"/>
        </w:rPr>
        <w:t>ll</w:t>
      </w:r>
      <w:r w:rsidR="00FE71DE" w:rsidRPr="009014AE">
        <w:rPr>
          <w:rFonts w:cs="Times New Roman"/>
          <w:sz w:val="24"/>
          <w:szCs w:val="24"/>
        </w:rPr>
        <w:t xml:space="preserve"> </w:t>
      </w:r>
      <w:r w:rsidR="00B04DB9" w:rsidRPr="009014AE">
        <w:rPr>
          <w:rFonts w:cs="Times New Roman"/>
          <w:sz w:val="24"/>
          <w:szCs w:val="24"/>
        </w:rPr>
        <w:t xml:space="preserve">investors benefit when </w:t>
      </w:r>
      <w:r w:rsidR="002F6791" w:rsidRPr="009014AE">
        <w:rPr>
          <w:rFonts w:cs="Times New Roman"/>
          <w:sz w:val="24"/>
          <w:szCs w:val="24"/>
        </w:rPr>
        <w:t xml:space="preserve">Delaware </w:t>
      </w:r>
      <w:r w:rsidR="00F66C8F" w:rsidRPr="009014AE">
        <w:rPr>
          <w:rFonts w:cs="Times New Roman"/>
          <w:sz w:val="24"/>
          <w:szCs w:val="24"/>
        </w:rPr>
        <w:t xml:space="preserve">stockholders </w:t>
      </w:r>
      <w:r w:rsidR="003C06D9" w:rsidRPr="009014AE">
        <w:rPr>
          <w:rFonts w:cs="Times New Roman"/>
          <w:sz w:val="24"/>
          <w:szCs w:val="24"/>
        </w:rPr>
        <w:t xml:space="preserve">bring </w:t>
      </w:r>
      <w:r w:rsidR="00541E05" w:rsidRPr="009014AE">
        <w:rPr>
          <w:rFonts w:cs="Times New Roman"/>
          <w:sz w:val="24"/>
          <w:szCs w:val="24"/>
        </w:rPr>
        <w:t>management misconduct to the courts' atte</w:t>
      </w:r>
      <w:r w:rsidR="005841A5" w:rsidRPr="009014AE">
        <w:rPr>
          <w:rFonts w:cs="Times New Roman"/>
          <w:sz w:val="24"/>
          <w:szCs w:val="24"/>
        </w:rPr>
        <w:t>ntion by filing suit</w:t>
      </w:r>
      <w:r w:rsidR="00C0504A" w:rsidRPr="009014AE">
        <w:rPr>
          <w:rFonts w:cs="Times New Roman"/>
          <w:sz w:val="24"/>
          <w:szCs w:val="24"/>
        </w:rPr>
        <w:t>.</w:t>
      </w:r>
      <w:r w:rsidR="00C0504A" w:rsidRPr="009014AE">
        <w:rPr>
          <w:rStyle w:val="FootnoteReference"/>
          <w:rFonts w:cs="Times New Roman"/>
          <w:sz w:val="24"/>
          <w:szCs w:val="24"/>
        </w:rPr>
        <w:footnoteReference w:id="60"/>
      </w:r>
      <w:r w:rsidR="00C0504A" w:rsidRPr="009014AE">
        <w:rPr>
          <w:rFonts w:cs="Times New Roman"/>
          <w:sz w:val="24"/>
          <w:szCs w:val="24"/>
        </w:rPr>
        <w:t xml:space="preserve"> </w:t>
      </w:r>
      <w:r w:rsidR="008606FD" w:rsidRPr="009014AE">
        <w:rPr>
          <w:rFonts w:cs="Times New Roman"/>
          <w:sz w:val="24"/>
          <w:szCs w:val="24"/>
        </w:rPr>
        <w:t xml:space="preserve"> </w:t>
      </w:r>
      <w:r w:rsidR="002D706C" w:rsidRPr="009014AE">
        <w:rPr>
          <w:rFonts w:cs="Times New Roman"/>
          <w:sz w:val="24"/>
          <w:szCs w:val="24"/>
        </w:rPr>
        <w:t>I</w:t>
      </w:r>
      <w:r w:rsidR="008606FD" w:rsidRPr="009014AE">
        <w:rPr>
          <w:rFonts w:cs="Times New Roman"/>
          <w:sz w:val="24"/>
          <w:szCs w:val="24"/>
        </w:rPr>
        <w:t>nvestors would</w:t>
      </w:r>
      <w:r w:rsidR="00CC0C96" w:rsidRPr="009014AE">
        <w:rPr>
          <w:rFonts w:cs="Times New Roman"/>
          <w:sz w:val="24"/>
          <w:szCs w:val="24"/>
        </w:rPr>
        <w:t xml:space="preserve"> likewise</w:t>
      </w:r>
      <w:r w:rsidR="008606FD" w:rsidRPr="009014AE">
        <w:rPr>
          <w:rFonts w:cs="Times New Roman"/>
          <w:sz w:val="24"/>
          <w:szCs w:val="24"/>
        </w:rPr>
        <w:t xml:space="preserve"> lose out if stockholders are deterred from </w:t>
      </w:r>
      <w:r w:rsidR="00044556">
        <w:rPr>
          <w:rFonts w:cs="Times New Roman"/>
          <w:sz w:val="24"/>
          <w:szCs w:val="24"/>
        </w:rPr>
        <w:t>"</w:t>
      </w:r>
      <w:r w:rsidR="008606FD" w:rsidRPr="009014AE">
        <w:rPr>
          <w:sz w:val="24"/>
          <w:szCs w:val="24"/>
        </w:rPr>
        <w:t>fulfilling their important role in policing the board's and the corporation's conduct</w:t>
      </w:r>
      <w:r w:rsidR="00CC7F63">
        <w:rPr>
          <w:sz w:val="24"/>
          <w:szCs w:val="24"/>
        </w:rPr>
        <w:t> </w:t>
      </w:r>
      <w:r w:rsidR="008606FD" w:rsidRPr="009014AE">
        <w:rPr>
          <w:sz w:val="24"/>
          <w:szCs w:val="24"/>
        </w:rPr>
        <w:t>.</w:t>
      </w:r>
      <w:r w:rsidR="00CC7F63">
        <w:rPr>
          <w:sz w:val="24"/>
          <w:szCs w:val="24"/>
        </w:rPr>
        <w:t> </w:t>
      </w:r>
      <w:r w:rsidR="008606FD" w:rsidRPr="009014AE">
        <w:rPr>
          <w:sz w:val="24"/>
          <w:szCs w:val="24"/>
        </w:rPr>
        <w:t>.</w:t>
      </w:r>
      <w:r w:rsidR="00CC7F63">
        <w:rPr>
          <w:sz w:val="24"/>
          <w:szCs w:val="24"/>
        </w:rPr>
        <w:t> </w:t>
      </w:r>
      <w:r w:rsidR="008606FD" w:rsidRPr="009014AE">
        <w:rPr>
          <w:sz w:val="24"/>
          <w:szCs w:val="24"/>
        </w:rPr>
        <w:t>.</w:t>
      </w:r>
      <w:r w:rsidR="00CC7F63">
        <w:rPr>
          <w:sz w:val="24"/>
          <w:szCs w:val="24"/>
        </w:rPr>
        <w:t> </w:t>
      </w:r>
      <w:r w:rsidR="008606FD" w:rsidRPr="009014AE">
        <w:rPr>
          <w:sz w:val="24"/>
          <w:szCs w:val="24"/>
        </w:rPr>
        <w:t>.</w:t>
      </w:r>
      <w:r w:rsidR="00044556">
        <w:rPr>
          <w:sz w:val="24"/>
          <w:szCs w:val="24"/>
        </w:rPr>
        <w:t>"</w:t>
      </w:r>
      <w:r w:rsidR="003C1DA6" w:rsidRPr="009014AE">
        <w:rPr>
          <w:rStyle w:val="FootnoteReference"/>
          <w:rFonts w:cs="Times New Roman"/>
          <w:sz w:val="24"/>
          <w:szCs w:val="24"/>
        </w:rPr>
        <w:footnoteReference w:id="61"/>
      </w:r>
      <w:r w:rsidR="00B04DB9" w:rsidRPr="009014AE">
        <w:rPr>
          <w:rFonts w:cs="Times New Roman"/>
          <w:sz w:val="24"/>
          <w:szCs w:val="24"/>
        </w:rPr>
        <w:t xml:space="preserve">  </w:t>
      </w:r>
      <w:r w:rsidR="00A52CB7" w:rsidRPr="009014AE">
        <w:rPr>
          <w:rFonts w:cs="Times New Roman"/>
          <w:sz w:val="24"/>
          <w:szCs w:val="24"/>
        </w:rPr>
        <w:t xml:space="preserve">Stifling corporate litigation could also be bad business for Delaware.  </w:t>
      </w:r>
      <w:r w:rsidR="00155799" w:rsidRPr="009014AE">
        <w:rPr>
          <w:rFonts w:cs="Times New Roman"/>
          <w:sz w:val="24"/>
          <w:szCs w:val="24"/>
        </w:rPr>
        <w:t>A</w:t>
      </w:r>
      <w:r w:rsidR="00A52CB7" w:rsidRPr="009014AE">
        <w:rPr>
          <w:rFonts w:cs="Times New Roman"/>
          <w:sz w:val="24"/>
          <w:szCs w:val="24"/>
        </w:rPr>
        <w:t xml:space="preserve"> decrease in </w:t>
      </w:r>
      <w:r w:rsidR="002D32A5" w:rsidRPr="009014AE">
        <w:rPr>
          <w:rFonts w:cs="Times New Roman"/>
          <w:sz w:val="24"/>
          <w:szCs w:val="24"/>
        </w:rPr>
        <w:t xml:space="preserve">corporate </w:t>
      </w:r>
      <w:r w:rsidR="007B5581">
        <w:rPr>
          <w:rFonts w:cs="Times New Roman"/>
          <w:sz w:val="24"/>
          <w:szCs w:val="24"/>
        </w:rPr>
        <w:t>lawsuits</w:t>
      </w:r>
      <w:r w:rsidR="001F0412" w:rsidRPr="009014AE">
        <w:rPr>
          <w:rFonts w:cs="Times New Roman"/>
          <w:sz w:val="24"/>
          <w:szCs w:val="24"/>
        </w:rPr>
        <w:t xml:space="preserve"> would </w:t>
      </w:r>
      <w:r w:rsidR="00167C77" w:rsidRPr="009014AE">
        <w:rPr>
          <w:rFonts w:cs="Times New Roman"/>
          <w:sz w:val="24"/>
          <w:szCs w:val="24"/>
        </w:rPr>
        <w:t>curb</w:t>
      </w:r>
      <w:r w:rsidR="002F2BE2" w:rsidRPr="009014AE">
        <w:rPr>
          <w:rFonts w:cs="Times New Roman"/>
          <w:sz w:val="24"/>
          <w:szCs w:val="24"/>
        </w:rPr>
        <w:t xml:space="preserve"> </w:t>
      </w:r>
      <w:r w:rsidR="00612B80" w:rsidRPr="009014AE">
        <w:rPr>
          <w:rFonts w:cs="Times New Roman"/>
          <w:sz w:val="24"/>
          <w:szCs w:val="24"/>
        </w:rPr>
        <w:t xml:space="preserve">the </w:t>
      </w:r>
      <w:r w:rsidR="00167C77" w:rsidRPr="009014AE">
        <w:rPr>
          <w:rFonts w:cs="Times New Roman"/>
          <w:sz w:val="24"/>
          <w:szCs w:val="24"/>
        </w:rPr>
        <w:t>progression</w:t>
      </w:r>
      <w:r w:rsidR="00167D75" w:rsidRPr="009014AE">
        <w:rPr>
          <w:rFonts w:cs="Times New Roman"/>
          <w:sz w:val="24"/>
          <w:szCs w:val="24"/>
        </w:rPr>
        <w:t xml:space="preserve"> of </w:t>
      </w:r>
      <w:r w:rsidR="009E6F93" w:rsidRPr="009014AE">
        <w:rPr>
          <w:rFonts w:cs="Times New Roman"/>
          <w:sz w:val="24"/>
          <w:szCs w:val="24"/>
        </w:rPr>
        <w:t xml:space="preserve">case law </w:t>
      </w:r>
      <w:r w:rsidR="00DF2B53" w:rsidRPr="009014AE">
        <w:rPr>
          <w:rFonts w:cs="Times New Roman"/>
          <w:sz w:val="24"/>
          <w:szCs w:val="24"/>
        </w:rPr>
        <w:t>that has made Delaware a popular home for so many corporations.</w:t>
      </w:r>
      <w:r w:rsidR="002D383D" w:rsidRPr="009014AE">
        <w:rPr>
          <w:rStyle w:val="FootnoteReference"/>
          <w:rFonts w:cs="Times New Roman"/>
          <w:sz w:val="24"/>
          <w:szCs w:val="24"/>
        </w:rPr>
        <w:footnoteReference w:id="62"/>
      </w:r>
      <w:r w:rsidR="006259AD" w:rsidRPr="009014AE">
        <w:rPr>
          <w:rFonts w:cs="Times New Roman"/>
          <w:sz w:val="24"/>
          <w:szCs w:val="24"/>
        </w:rPr>
        <w:t xml:space="preserve">  </w:t>
      </w:r>
      <w:r w:rsidR="008E2255" w:rsidRPr="009014AE">
        <w:rPr>
          <w:rFonts w:cs="Times New Roman"/>
          <w:sz w:val="24"/>
          <w:szCs w:val="24"/>
        </w:rPr>
        <w:t>A</w:t>
      </w:r>
      <w:r w:rsidR="0085224D" w:rsidRPr="009014AE">
        <w:rPr>
          <w:rFonts w:cs="Times New Roman"/>
          <w:sz w:val="24"/>
          <w:szCs w:val="24"/>
        </w:rPr>
        <w:t xml:space="preserve">llowing fee-shifting bylaws is </w:t>
      </w:r>
      <w:r w:rsidR="00D34AB0">
        <w:rPr>
          <w:rFonts w:cs="Times New Roman"/>
          <w:sz w:val="24"/>
          <w:szCs w:val="24"/>
        </w:rPr>
        <w:t xml:space="preserve">arguably </w:t>
      </w:r>
      <w:r w:rsidR="0085224D" w:rsidRPr="009014AE">
        <w:rPr>
          <w:rFonts w:cs="Times New Roman"/>
          <w:sz w:val="24"/>
          <w:szCs w:val="24"/>
        </w:rPr>
        <w:t xml:space="preserve">inconsistent with </w:t>
      </w:r>
      <w:r w:rsidR="00BF4546" w:rsidRPr="009014AE">
        <w:rPr>
          <w:rFonts w:cs="Times New Roman"/>
          <w:sz w:val="24"/>
          <w:szCs w:val="24"/>
        </w:rPr>
        <w:t xml:space="preserve">maintaining </w:t>
      </w:r>
      <w:r w:rsidR="00503DD6" w:rsidRPr="009014AE">
        <w:rPr>
          <w:rFonts w:cs="Times New Roman"/>
          <w:sz w:val="24"/>
          <w:szCs w:val="24"/>
        </w:rPr>
        <w:t xml:space="preserve">Delaware's </w:t>
      </w:r>
      <w:r w:rsidR="00BF4546" w:rsidRPr="009014AE">
        <w:rPr>
          <w:rFonts w:cs="Times New Roman"/>
          <w:sz w:val="24"/>
          <w:szCs w:val="24"/>
        </w:rPr>
        <w:t>reputation for</w:t>
      </w:r>
      <w:r w:rsidR="00482021" w:rsidRPr="009014AE">
        <w:rPr>
          <w:rFonts w:cs="Times New Roman"/>
          <w:sz w:val="24"/>
          <w:szCs w:val="24"/>
        </w:rPr>
        <w:t xml:space="preserve"> providing </w:t>
      </w:r>
      <w:r w:rsidR="00EB3C28" w:rsidRPr="009014AE">
        <w:rPr>
          <w:rFonts w:cs="Times New Roman"/>
          <w:sz w:val="24"/>
          <w:szCs w:val="24"/>
        </w:rPr>
        <w:t>c</w:t>
      </w:r>
      <w:r w:rsidR="00BA4BDD" w:rsidRPr="009014AE">
        <w:rPr>
          <w:rFonts w:cs="Times New Roman"/>
          <w:sz w:val="24"/>
          <w:szCs w:val="24"/>
        </w:rPr>
        <w:t xml:space="preserve">ourts </w:t>
      </w:r>
      <w:r w:rsidR="00A06803" w:rsidRPr="009014AE">
        <w:rPr>
          <w:rFonts w:cs="Times New Roman"/>
          <w:sz w:val="24"/>
          <w:szCs w:val="24"/>
        </w:rPr>
        <w:t xml:space="preserve">capable of acting as </w:t>
      </w:r>
      <w:r w:rsidR="00044556">
        <w:rPr>
          <w:rFonts w:cs="Times New Roman"/>
          <w:sz w:val="24"/>
          <w:szCs w:val="24"/>
        </w:rPr>
        <w:t>"</w:t>
      </w:r>
      <w:r w:rsidR="00A06803" w:rsidRPr="009014AE">
        <w:rPr>
          <w:rFonts w:cs="Times New Roman"/>
          <w:sz w:val="24"/>
          <w:szCs w:val="24"/>
        </w:rPr>
        <w:t>sophisticated and fair arbiters that help promote investor confidence and thereby reduce the cost of capital.</w:t>
      </w:r>
      <w:r w:rsidR="00044556">
        <w:rPr>
          <w:rFonts w:cs="Times New Roman"/>
          <w:sz w:val="24"/>
          <w:szCs w:val="24"/>
        </w:rPr>
        <w:t>"</w:t>
      </w:r>
      <w:r w:rsidR="00A06803" w:rsidRPr="009014AE">
        <w:rPr>
          <w:rStyle w:val="FootnoteReference"/>
          <w:rFonts w:cs="Times New Roman"/>
          <w:sz w:val="24"/>
          <w:szCs w:val="24"/>
        </w:rPr>
        <w:footnoteReference w:id="63"/>
      </w:r>
      <w:r w:rsidR="00B27766" w:rsidRPr="009014AE">
        <w:rPr>
          <w:rFonts w:cs="Times New Roman"/>
          <w:sz w:val="24"/>
          <w:szCs w:val="24"/>
        </w:rPr>
        <w:t xml:space="preserve">  </w:t>
      </w:r>
    </w:p>
    <w:p w14:paraId="78E7FE7B" w14:textId="5EB3F8C5" w:rsidR="00876B13" w:rsidRDefault="0052195D" w:rsidP="00316553">
      <w:pPr>
        <w:widowControl w:val="0"/>
        <w:spacing w:line="480" w:lineRule="auto"/>
        <w:ind w:firstLine="720"/>
        <w:jc w:val="both"/>
        <w:rPr>
          <w:rFonts w:cs="Times New Roman"/>
          <w:sz w:val="24"/>
          <w:szCs w:val="24"/>
        </w:rPr>
      </w:pPr>
      <w:r>
        <w:rPr>
          <w:rFonts w:cs="Times New Roman"/>
          <w:sz w:val="24"/>
          <w:szCs w:val="24"/>
        </w:rPr>
        <w:t xml:space="preserve">This degree of risk to stockholders is especially burdensome considering that </w:t>
      </w:r>
      <w:r w:rsidR="00DB4E62">
        <w:rPr>
          <w:rFonts w:cs="Times New Roman"/>
          <w:sz w:val="24"/>
          <w:szCs w:val="24"/>
        </w:rPr>
        <w:t>a</w:t>
      </w:r>
      <w:r>
        <w:rPr>
          <w:rFonts w:cs="Times New Roman"/>
          <w:sz w:val="24"/>
          <w:szCs w:val="24"/>
        </w:rPr>
        <w:t xml:space="preserve"> bylaw imposing </w:t>
      </w:r>
      <w:r w:rsidR="003805F5">
        <w:rPr>
          <w:rFonts w:cs="Times New Roman"/>
          <w:sz w:val="24"/>
          <w:szCs w:val="24"/>
        </w:rPr>
        <w:t xml:space="preserve">legal fees on stockholders can be adopted </w:t>
      </w:r>
      <w:r w:rsidR="0098077E">
        <w:rPr>
          <w:rFonts w:cs="Times New Roman"/>
          <w:sz w:val="24"/>
          <w:szCs w:val="24"/>
        </w:rPr>
        <w:t xml:space="preserve">without </w:t>
      </w:r>
      <w:r w:rsidR="00A44BC9">
        <w:rPr>
          <w:rFonts w:cs="Times New Roman"/>
          <w:sz w:val="24"/>
          <w:szCs w:val="24"/>
        </w:rPr>
        <w:t>their</w:t>
      </w:r>
      <w:r w:rsidR="0098077E">
        <w:rPr>
          <w:rFonts w:cs="Times New Roman"/>
          <w:sz w:val="24"/>
          <w:szCs w:val="24"/>
        </w:rPr>
        <w:t xml:space="preserve"> </w:t>
      </w:r>
      <w:r w:rsidR="00050AC2">
        <w:rPr>
          <w:rFonts w:cs="Times New Roman"/>
          <w:sz w:val="24"/>
          <w:szCs w:val="24"/>
        </w:rPr>
        <w:t>approval</w:t>
      </w:r>
      <w:r w:rsidR="0098077E">
        <w:rPr>
          <w:rFonts w:cs="Times New Roman"/>
          <w:sz w:val="24"/>
          <w:szCs w:val="24"/>
        </w:rPr>
        <w:t>.</w:t>
      </w:r>
      <w:r w:rsidR="0013602A">
        <w:rPr>
          <w:rStyle w:val="FootnoteReference"/>
          <w:rFonts w:cs="Times New Roman"/>
          <w:sz w:val="24"/>
          <w:szCs w:val="24"/>
        </w:rPr>
        <w:footnoteReference w:id="64"/>
      </w:r>
      <w:r w:rsidR="0013602A">
        <w:rPr>
          <w:rFonts w:cs="Times New Roman"/>
          <w:sz w:val="24"/>
          <w:szCs w:val="24"/>
        </w:rPr>
        <w:t xml:space="preserve"> </w:t>
      </w:r>
      <w:r w:rsidR="008F4A3D">
        <w:rPr>
          <w:rFonts w:cs="Times New Roman"/>
          <w:sz w:val="24"/>
          <w:szCs w:val="24"/>
        </w:rPr>
        <w:t xml:space="preserve"> </w:t>
      </w:r>
      <w:r w:rsidR="00620596">
        <w:rPr>
          <w:rFonts w:cs="Times New Roman"/>
          <w:sz w:val="24"/>
          <w:szCs w:val="24"/>
        </w:rPr>
        <w:t>Recall that corporate bylaws are contracts, the terms of which can be changed unilaterally by the board.</w:t>
      </w:r>
      <w:r w:rsidR="000B3F27">
        <w:rPr>
          <w:rStyle w:val="FootnoteReference"/>
          <w:rFonts w:cs="Times New Roman"/>
          <w:sz w:val="24"/>
          <w:szCs w:val="24"/>
        </w:rPr>
        <w:footnoteReference w:id="65"/>
      </w:r>
      <w:r w:rsidR="00B05824">
        <w:rPr>
          <w:rFonts w:cs="Times New Roman"/>
          <w:sz w:val="24"/>
          <w:szCs w:val="24"/>
        </w:rPr>
        <w:t xml:space="preserve">  </w:t>
      </w:r>
      <w:r w:rsidR="00085A98">
        <w:rPr>
          <w:rFonts w:cs="Times New Roman"/>
          <w:sz w:val="24"/>
          <w:szCs w:val="24"/>
        </w:rPr>
        <w:t>Unlike</w:t>
      </w:r>
      <w:r w:rsidR="00F7249C">
        <w:rPr>
          <w:rFonts w:cs="Times New Roman"/>
          <w:sz w:val="24"/>
          <w:szCs w:val="24"/>
        </w:rPr>
        <w:t xml:space="preserve"> other bylaws, however, </w:t>
      </w:r>
      <w:r w:rsidR="00085A98">
        <w:rPr>
          <w:rFonts w:cs="Times New Roman"/>
          <w:sz w:val="24"/>
          <w:szCs w:val="24"/>
        </w:rPr>
        <w:t>fee-shifting provisions</w:t>
      </w:r>
      <w:r w:rsidR="00F7249C">
        <w:rPr>
          <w:rFonts w:cs="Times New Roman"/>
          <w:sz w:val="24"/>
          <w:szCs w:val="24"/>
        </w:rPr>
        <w:t xml:space="preserve"> </w:t>
      </w:r>
      <w:r w:rsidR="00D37471">
        <w:rPr>
          <w:rFonts w:cs="Times New Roman"/>
          <w:sz w:val="24"/>
          <w:szCs w:val="24"/>
        </w:rPr>
        <w:t xml:space="preserve">have the potential to </w:t>
      </w:r>
      <w:r w:rsidR="00F7249C">
        <w:rPr>
          <w:rFonts w:cs="Times New Roman"/>
          <w:sz w:val="24"/>
          <w:szCs w:val="24"/>
        </w:rPr>
        <w:t xml:space="preserve">impose </w:t>
      </w:r>
      <w:r w:rsidR="00085A98">
        <w:rPr>
          <w:rFonts w:cs="Times New Roman"/>
          <w:sz w:val="24"/>
          <w:szCs w:val="24"/>
        </w:rPr>
        <w:t>monetary liability on stockholders</w:t>
      </w:r>
      <w:r w:rsidR="000266D7">
        <w:rPr>
          <w:rFonts w:cs="Times New Roman"/>
          <w:sz w:val="24"/>
          <w:szCs w:val="24"/>
        </w:rPr>
        <w:t>, which is contrary to the concept of limited liability</w:t>
      </w:r>
      <w:r w:rsidR="00085A98">
        <w:rPr>
          <w:rFonts w:cs="Times New Roman"/>
          <w:sz w:val="24"/>
          <w:szCs w:val="24"/>
        </w:rPr>
        <w:t>.</w:t>
      </w:r>
      <w:r w:rsidR="00085A98">
        <w:rPr>
          <w:rStyle w:val="FootnoteReference"/>
          <w:rFonts w:cs="Times New Roman"/>
          <w:sz w:val="24"/>
          <w:szCs w:val="24"/>
        </w:rPr>
        <w:footnoteReference w:id="66"/>
      </w:r>
      <w:r w:rsidR="00E70F44">
        <w:rPr>
          <w:rFonts w:cs="Times New Roman"/>
          <w:sz w:val="24"/>
          <w:szCs w:val="24"/>
        </w:rPr>
        <w:t xml:space="preserve">  </w:t>
      </w:r>
      <w:r w:rsidR="003672AE">
        <w:rPr>
          <w:rFonts w:cs="Times New Roman"/>
          <w:sz w:val="24"/>
          <w:szCs w:val="24"/>
        </w:rPr>
        <w:t xml:space="preserve">The </w:t>
      </w:r>
      <w:r w:rsidR="00067A26">
        <w:rPr>
          <w:rFonts w:cs="Times New Roman"/>
          <w:sz w:val="24"/>
          <w:szCs w:val="24"/>
        </w:rPr>
        <w:t xml:space="preserve">Chamber of Commerce's </w:t>
      </w:r>
      <w:r w:rsidR="000E2A77">
        <w:rPr>
          <w:rFonts w:cs="Times New Roman"/>
          <w:sz w:val="24"/>
          <w:szCs w:val="24"/>
        </w:rPr>
        <w:t>Institute</w:t>
      </w:r>
      <w:r w:rsidR="00067A26">
        <w:rPr>
          <w:rFonts w:cs="Times New Roman"/>
          <w:sz w:val="24"/>
          <w:szCs w:val="24"/>
        </w:rPr>
        <w:t xml:space="preserve"> for Legal Reform (</w:t>
      </w:r>
      <w:r w:rsidR="00044556">
        <w:rPr>
          <w:rFonts w:cs="Times New Roman"/>
          <w:sz w:val="24"/>
          <w:szCs w:val="24"/>
        </w:rPr>
        <w:t>"</w:t>
      </w:r>
      <w:r w:rsidR="00067A26">
        <w:rPr>
          <w:rFonts w:cs="Times New Roman"/>
          <w:sz w:val="24"/>
          <w:szCs w:val="24"/>
        </w:rPr>
        <w:t>ILR</w:t>
      </w:r>
      <w:r w:rsidR="00044556">
        <w:rPr>
          <w:rFonts w:cs="Times New Roman"/>
          <w:sz w:val="24"/>
          <w:szCs w:val="24"/>
        </w:rPr>
        <w:t>"</w:t>
      </w:r>
      <w:r w:rsidR="00067A26">
        <w:rPr>
          <w:rFonts w:cs="Times New Roman"/>
          <w:sz w:val="24"/>
          <w:szCs w:val="24"/>
        </w:rPr>
        <w:t>)</w:t>
      </w:r>
      <w:r w:rsidR="003672AE">
        <w:rPr>
          <w:rFonts w:cs="Times New Roman"/>
          <w:sz w:val="24"/>
          <w:szCs w:val="24"/>
        </w:rPr>
        <w:t xml:space="preserve">, which supports free use of fee-shifting bylaws, has argued that </w:t>
      </w:r>
      <w:r w:rsidR="003672AE" w:rsidRPr="003672AE">
        <w:rPr>
          <w:rFonts w:cs="Times New Roman"/>
          <w:sz w:val="24"/>
          <w:szCs w:val="24"/>
        </w:rPr>
        <w:t xml:space="preserve">no liability results unless the </w:t>
      </w:r>
      <w:r w:rsidR="003672AE">
        <w:rPr>
          <w:rFonts w:cs="Times New Roman"/>
          <w:sz w:val="24"/>
          <w:szCs w:val="24"/>
        </w:rPr>
        <w:t>shareholder</w:t>
      </w:r>
      <w:r w:rsidR="003672AE" w:rsidRPr="003672AE">
        <w:rPr>
          <w:rFonts w:cs="Times New Roman"/>
          <w:sz w:val="24"/>
          <w:szCs w:val="24"/>
        </w:rPr>
        <w:t xml:space="preserve"> takes </w:t>
      </w:r>
      <w:r w:rsidR="00044556">
        <w:rPr>
          <w:rFonts w:cs="Times New Roman"/>
          <w:sz w:val="24"/>
          <w:szCs w:val="24"/>
        </w:rPr>
        <w:t>"</w:t>
      </w:r>
      <w:r w:rsidR="003672AE" w:rsidRPr="003672AE">
        <w:rPr>
          <w:rFonts w:cs="Times New Roman"/>
          <w:sz w:val="24"/>
          <w:szCs w:val="24"/>
        </w:rPr>
        <w:t xml:space="preserve">an affirmative act . . . [by] instituting a losing claim and thereby inflicting unjustified costs on all </w:t>
      </w:r>
      <w:r w:rsidR="003672AE">
        <w:rPr>
          <w:rFonts w:cs="Times New Roman"/>
          <w:sz w:val="24"/>
          <w:szCs w:val="24"/>
        </w:rPr>
        <w:t>shareholders</w:t>
      </w:r>
      <w:r w:rsidR="003672AE" w:rsidRPr="003672AE">
        <w:rPr>
          <w:rFonts w:cs="Times New Roman"/>
          <w:sz w:val="24"/>
          <w:szCs w:val="24"/>
        </w:rPr>
        <w:t>.</w:t>
      </w:r>
      <w:r w:rsidR="00044556">
        <w:rPr>
          <w:rFonts w:cs="Times New Roman"/>
          <w:sz w:val="24"/>
          <w:szCs w:val="24"/>
        </w:rPr>
        <w:t>"</w:t>
      </w:r>
      <w:r w:rsidR="003672AE">
        <w:rPr>
          <w:rStyle w:val="FootnoteReference"/>
          <w:rFonts w:cs="Times New Roman"/>
          <w:sz w:val="24"/>
          <w:szCs w:val="24"/>
        </w:rPr>
        <w:footnoteReference w:id="67"/>
      </w:r>
      <w:r w:rsidR="007C3F6F">
        <w:rPr>
          <w:rFonts w:cs="Times New Roman"/>
          <w:sz w:val="24"/>
          <w:szCs w:val="24"/>
        </w:rPr>
        <w:t xml:space="preserve">  </w:t>
      </w:r>
      <w:r w:rsidR="0071698E">
        <w:rPr>
          <w:rFonts w:cs="Times New Roman"/>
          <w:sz w:val="24"/>
          <w:szCs w:val="24"/>
        </w:rPr>
        <w:t xml:space="preserve">However, this argument </w:t>
      </w:r>
      <w:r w:rsidR="00F95104">
        <w:rPr>
          <w:rFonts w:cs="Times New Roman"/>
          <w:sz w:val="24"/>
          <w:szCs w:val="24"/>
        </w:rPr>
        <w:t>overstates the degree of certainty any plaintiff has over the likely success of its claims</w:t>
      </w:r>
      <w:r w:rsidR="00137298">
        <w:rPr>
          <w:rFonts w:cs="Times New Roman"/>
          <w:sz w:val="24"/>
          <w:szCs w:val="24"/>
        </w:rPr>
        <w:t>.</w:t>
      </w:r>
      <w:r w:rsidR="00F95104">
        <w:rPr>
          <w:rFonts w:cs="Times New Roman"/>
          <w:sz w:val="24"/>
          <w:szCs w:val="24"/>
        </w:rPr>
        <w:t xml:space="preserve"> </w:t>
      </w:r>
      <w:r w:rsidR="00137298">
        <w:rPr>
          <w:rFonts w:cs="Times New Roman"/>
          <w:sz w:val="24"/>
          <w:szCs w:val="24"/>
        </w:rPr>
        <w:t xml:space="preserve"> E</w:t>
      </w:r>
      <w:r w:rsidR="00F95104">
        <w:rPr>
          <w:rFonts w:cs="Times New Roman"/>
          <w:sz w:val="24"/>
          <w:szCs w:val="24"/>
        </w:rPr>
        <w:t xml:space="preserve">ven those claims likely to win </w:t>
      </w:r>
      <w:r w:rsidR="00B95C9D">
        <w:rPr>
          <w:rFonts w:cs="Times New Roman"/>
          <w:sz w:val="24"/>
          <w:szCs w:val="24"/>
        </w:rPr>
        <w:t xml:space="preserve">are susceptible to </w:t>
      </w:r>
      <w:r w:rsidR="00AB0924">
        <w:rPr>
          <w:rFonts w:cs="Times New Roman"/>
          <w:sz w:val="24"/>
          <w:szCs w:val="24"/>
        </w:rPr>
        <w:t xml:space="preserve">failure depending on factors </w:t>
      </w:r>
      <w:r w:rsidR="00B53C70">
        <w:rPr>
          <w:rFonts w:cs="Times New Roman"/>
          <w:sz w:val="24"/>
          <w:szCs w:val="24"/>
        </w:rPr>
        <w:t>that are not necessarily predictable.</w:t>
      </w:r>
      <w:r w:rsidR="002A4F49">
        <w:rPr>
          <w:rFonts w:cs="Times New Roman"/>
          <w:sz w:val="24"/>
          <w:szCs w:val="24"/>
        </w:rPr>
        <w:t xml:space="preserve"> </w:t>
      </w:r>
      <w:r w:rsidR="00AB0924">
        <w:rPr>
          <w:rFonts w:cs="Times New Roman"/>
          <w:sz w:val="24"/>
          <w:szCs w:val="24"/>
        </w:rPr>
        <w:t xml:space="preserve"> </w:t>
      </w:r>
      <w:r w:rsidR="00B37474">
        <w:rPr>
          <w:rFonts w:cs="Times New Roman"/>
          <w:sz w:val="24"/>
          <w:szCs w:val="24"/>
        </w:rPr>
        <w:t>S</w:t>
      </w:r>
      <w:r w:rsidR="00570D80">
        <w:rPr>
          <w:rFonts w:cs="Times New Roman"/>
          <w:sz w:val="24"/>
          <w:szCs w:val="24"/>
        </w:rPr>
        <w:t xml:space="preserve">ingling out for punishment those shareholders who </w:t>
      </w:r>
      <w:r w:rsidR="0072432E">
        <w:rPr>
          <w:rFonts w:cs="Times New Roman"/>
          <w:sz w:val="24"/>
          <w:szCs w:val="24"/>
        </w:rPr>
        <w:t>complain</w:t>
      </w:r>
      <w:r w:rsidR="00570D80">
        <w:rPr>
          <w:rFonts w:cs="Times New Roman"/>
          <w:sz w:val="24"/>
          <w:szCs w:val="24"/>
        </w:rPr>
        <w:t xml:space="preserve"> about potential management misconduct is especially troubling</w:t>
      </w:r>
      <w:r w:rsidR="008F6805">
        <w:rPr>
          <w:rFonts w:cs="Times New Roman"/>
          <w:sz w:val="24"/>
          <w:szCs w:val="24"/>
        </w:rPr>
        <w:t xml:space="preserve">, especially given </w:t>
      </w:r>
      <w:r w:rsidR="0044039B">
        <w:rPr>
          <w:rFonts w:cs="Times New Roman"/>
          <w:sz w:val="24"/>
          <w:szCs w:val="24"/>
        </w:rPr>
        <w:t>the lack of a</w:t>
      </w:r>
      <w:r w:rsidR="008F6805">
        <w:rPr>
          <w:rFonts w:cs="Times New Roman"/>
          <w:sz w:val="24"/>
          <w:szCs w:val="24"/>
        </w:rPr>
        <w:t xml:space="preserve"> corresponding obligation </w:t>
      </w:r>
      <w:r w:rsidR="00B31C0A">
        <w:rPr>
          <w:rFonts w:cs="Times New Roman"/>
          <w:sz w:val="24"/>
          <w:szCs w:val="24"/>
        </w:rPr>
        <w:t>on the part of the corporation</w:t>
      </w:r>
      <w:r w:rsidR="008F6805">
        <w:rPr>
          <w:rFonts w:cs="Times New Roman"/>
          <w:sz w:val="24"/>
          <w:szCs w:val="24"/>
        </w:rPr>
        <w:t xml:space="preserve"> in the event that the plaintiff is successful</w:t>
      </w:r>
      <w:r w:rsidR="00570D80">
        <w:rPr>
          <w:rFonts w:cs="Times New Roman"/>
          <w:sz w:val="24"/>
          <w:szCs w:val="24"/>
        </w:rPr>
        <w:t>.</w:t>
      </w:r>
      <w:r w:rsidR="008F6805">
        <w:rPr>
          <w:rStyle w:val="FootnoteReference"/>
          <w:rFonts w:cs="Times New Roman"/>
          <w:sz w:val="24"/>
          <w:szCs w:val="24"/>
        </w:rPr>
        <w:footnoteReference w:id="68"/>
      </w:r>
      <w:r w:rsidR="00570D80">
        <w:rPr>
          <w:rFonts w:cs="Times New Roman"/>
          <w:sz w:val="24"/>
          <w:szCs w:val="24"/>
        </w:rPr>
        <w:t xml:space="preserve">  </w:t>
      </w:r>
      <w:r w:rsidR="00F7744E">
        <w:rPr>
          <w:rFonts w:cs="Times New Roman"/>
          <w:sz w:val="24"/>
          <w:szCs w:val="24"/>
        </w:rPr>
        <w:t>To some</w:t>
      </w:r>
      <w:r w:rsidR="005474E1">
        <w:rPr>
          <w:rFonts w:cs="Times New Roman"/>
          <w:sz w:val="24"/>
          <w:szCs w:val="24"/>
        </w:rPr>
        <w:t xml:space="preserve">, the concept of </w:t>
      </w:r>
      <w:r w:rsidR="00CA3EB6">
        <w:rPr>
          <w:rFonts w:cs="Times New Roman"/>
          <w:sz w:val="24"/>
          <w:szCs w:val="24"/>
        </w:rPr>
        <w:t>requiring shareholders to reimburse the company in which they own stock</w:t>
      </w:r>
      <w:r w:rsidR="0033439B">
        <w:rPr>
          <w:rFonts w:cs="Times New Roman"/>
          <w:sz w:val="24"/>
          <w:szCs w:val="24"/>
        </w:rPr>
        <w:t xml:space="preserve"> </w:t>
      </w:r>
      <w:r w:rsidR="00BA0740">
        <w:rPr>
          <w:rFonts w:cs="Times New Roman"/>
          <w:sz w:val="24"/>
          <w:szCs w:val="24"/>
        </w:rPr>
        <w:t xml:space="preserve">without their express authorization </w:t>
      </w:r>
      <w:r w:rsidR="00F7744E">
        <w:rPr>
          <w:rFonts w:cs="Times New Roman"/>
          <w:sz w:val="24"/>
          <w:szCs w:val="24"/>
        </w:rPr>
        <w:t>i</w:t>
      </w:r>
      <w:r w:rsidR="00B37474">
        <w:rPr>
          <w:rFonts w:cs="Times New Roman"/>
          <w:sz w:val="24"/>
          <w:szCs w:val="24"/>
        </w:rPr>
        <w:t>s simply</w:t>
      </w:r>
      <w:r w:rsidR="0072385B">
        <w:rPr>
          <w:rFonts w:cs="Times New Roman"/>
          <w:sz w:val="24"/>
          <w:szCs w:val="24"/>
        </w:rPr>
        <w:t xml:space="preserve"> unpalatable.</w:t>
      </w:r>
      <w:r w:rsidR="005C5699">
        <w:rPr>
          <w:rStyle w:val="FootnoteReference"/>
          <w:rFonts w:cs="Times New Roman"/>
          <w:sz w:val="24"/>
          <w:szCs w:val="24"/>
        </w:rPr>
        <w:footnoteReference w:id="69"/>
      </w:r>
    </w:p>
    <w:p w14:paraId="78568FE2" w14:textId="4E8EE1AF" w:rsidR="009C243A" w:rsidRPr="009014AE" w:rsidRDefault="00706ABF" w:rsidP="00316553">
      <w:pPr>
        <w:widowControl w:val="0"/>
        <w:spacing w:line="480" w:lineRule="auto"/>
        <w:ind w:firstLine="720"/>
        <w:jc w:val="both"/>
        <w:rPr>
          <w:rFonts w:cs="Times New Roman"/>
          <w:sz w:val="24"/>
          <w:szCs w:val="24"/>
        </w:rPr>
      </w:pPr>
      <w:r>
        <w:rPr>
          <w:rFonts w:cs="Times New Roman"/>
          <w:sz w:val="24"/>
          <w:szCs w:val="24"/>
        </w:rPr>
        <w:t>T</w:t>
      </w:r>
      <w:r w:rsidR="00EF6431">
        <w:rPr>
          <w:rFonts w:cs="Times New Roman"/>
          <w:sz w:val="24"/>
          <w:szCs w:val="24"/>
        </w:rPr>
        <w:t>he</w:t>
      </w:r>
      <w:r w:rsidR="002C0711" w:rsidRPr="009014AE">
        <w:rPr>
          <w:rFonts w:cs="Times New Roman"/>
          <w:sz w:val="24"/>
          <w:szCs w:val="24"/>
        </w:rPr>
        <w:t xml:space="preserve"> </w:t>
      </w:r>
      <w:r w:rsidR="004D2EBF">
        <w:rPr>
          <w:rFonts w:cs="Times New Roman"/>
          <w:sz w:val="24"/>
          <w:szCs w:val="24"/>
        </w:rPr>
        <w:t>2014</w:t>
      </w:r>
      <w:r w:rsidR="00EF6431">
        <w:rPr>
          <w:rFonts w:cs="Times New Roman"/>
          <w:sz w:val="24"/>
          <w:szCs w:val="24"/>
        </w:rPr>
        <w:t xml:space="preserve"> </w:t>
      </w:r>
      <w:r w:rsidR="002C0711" w:rsidRPr="009014AE">
        <w:rPr>
          <w:rFonts w:cs="Times New Roman"/>
          <w:sz w:val="24"/>
          <w:szCs w:val="24"/>
        </w:rPr>
        <w:t xml:space="preserve">amendment </w:t>
      </w:r>
      <w:r>
        <w:rPr>
          <w:rFonts w:cs="Times New Roman"/>
          <w:sz w:val="24"/>
          <w:szCs w:val="24"/>
        </w:rPr>
        <w:t>would</w:t>
      </w:r>
      <w:r w:rsidR="003F5915">
        <w:rPr>
          <w:rFonts w:cs="Times New Roman"/>
          <w:sz w:val="24"/>
          <w:szCs w:val="24"/>
        </w:rPr>
        <w:t xml:space="preserve"> </w:t>
      </w:r>
      <w:r w:rsidR="004D2EBF">
        <w:rPr>
          <w:rFonts w:cs="Times New Roman"/>
          <w:sz w:val="24"/>
          <w:szCs w:val="24"/>
        </w:rPr>
        <w:t>have</w:t>
      </w:r>
      <w:r w:rsidR="002C0711" w:rsidRPr="009014AE">
        <w:rPr>
          <w:rFonts w:cs="Times New Roman"/>
          <w:sz w:val="24"/>
          <w:szCs w:val="24"/>
        </w:rPr>
        <w:t xml:space="preserve"> preclude</w:t>
      </w:r>
      <w:r w:rsidR="004D2EBF">
        <w:rPr>
          <w:rFonts w:cs="Times New Roman"/>
          <w:sz w:val="24"/>
          <w:szCs w:val="24"/>
        </w:rPr>
        <w:t>d</w:t>
      </w:r>
      <w:r w:rsidR="002C0711" w:rsidRPr="009014AE">
        <w:rPr>
          <w:rFonts w:cs="Times New Roman"/>
          <w:sz w:val="24"/>
          <w:szCs w:val="24"/>
        </w:rPr>
        <w:t xml:space="preserve"> corporations from </w:t>
      </w:r>
      <w:r w:rsidR="00CC4B00" w:rsidRPr="009014AE">
        <w:rPr>
          <w:rFonts w:cs="Times New Roman"/>
          <w:sz w:val="24"/>
          <w:szCs w:val="24"/>
        </w:rPr>
        <w:t xml:space="preserve">adopting bylaws </w:t>
      </w:r>
      <w:r w:rsidR="0013041B">
        <w:rPr>
          <w:rFonts w:cs="Times New Roman"/>
          <w:sz w:val="24"/>
          <w:szCs w:val="24"/>
        </w:rPr>
        <w:t>that impose liability on shareholders purely on the basis of their status as a shareholder</w:t>
      </w:r>
      <w:r w:rsidR="00316974" w:rsidRPr="009014AE">
        <w:rPr>
          <w:rFonts w:cs="Times New Roman"/>
          <w:sz w:val="24"/>
          <w:szCs w:val="24"/>
        </w:rPr>
        <w:t>.</w:t>
      </w:r>
      <w:r w:rsidR="00226558">
        <w:rPr>
          <w:rStyle w:val="FootnoteReference"/>
          <w:rFonts w:cs="Times New Roman"/>
          <w:sz w:val="24"/>
          <w:szCs w:val="24"/>
        </w:rPr>
        <w:footnoteReference w:id="70"/>
      </w:r>
      <w:r w:rsidR="00735825">
        <w:rPr>
          <w:rFonts w:cs="Times New Roman"/>
          <w:sz w:val="24"/>
          <w:szCs w:val="24"/>
        </w:rPr>
        <w:t xml:space="preserve">  </w:t>
      </w:r>
      <w:r w:rsidR="002E677C">
        <w:rPr>
          <w:rFonts w:cs="Times New Roman"/>
          <w:sz w:val="24"/>
          <w:szCs w:val="24"/>
        </w:rPr>
        <w:t xml:space="preserve">The </w:t>
      </w:r>
      <w:r w:rsidR="00C64EF7">
        <w:rPr>
          <w:rFonts w:cs="Times New Roman"/>
          <w:sz w:val="24"/>
          <w:szCs w:val="24"/>
        </w:rPr>
        <w:t xml:space="preserve">draft of the </w:t>
      </w:r>
      <w:r w:rsidR="002E677C">
        <w:rPr>
          <w:rFonts w:cs="Times New Roman"/>
          <w:sz w:val="24"/>
          <w:szCs w:val="24"/>
        </w:rPr>
        <w:t xml:space="preserve">recently proposed amendment more directly </w:t>
      </w:r>
      <w:r w:rsidR="008168A6">
        <w:rPr>
          <w:rFonts w:cs="Times New Roman"/>
          <w:sz w:val="24"/>
          <w:szCs w:val="24"/>
        </w:rPr>
        <w:t xml:space="preserve">confronts the issue by </w:t>
      </w:r>
      <w:r w:rsidR="00825C17">
        <w:rPr>
          <w:rFonts w:cs="Times New Roman"/>
          <w:sz w:val="24"/>
          <w:szCs w:val="24"/>
        </w:rPr>
        <w:t xml:space="preserve">providing that neither the certificate of incorporation nor the bylaws may </w:t>
      </w:r>
      <w:r w:rsidR="00044556">
        <w:rPr>
          <w:rFonts w:cs="Times New Roman"/>
          <w:sz w:val="24"/>
          <w:szCs w:val="24"/>
        </w:rPr>
        <w:t>"</w:t>
      </w:r>
      <w:r w:rsidR="00825C17">
        <w:rPr>
          <w:rFonts w:cs="Times New Roman"/>
          <w:sz w:val="24"/>
          <w:szCs w:val="24"/>
        </w:rPr>
        <w:t>impose liability on a stockholder for the attorneys’ fees or expenses of the corporation or any other party in connection with an intracorporate claim . . . .</w:t>
      </w:r>
      <w:r w:rsidR="00044556">
        <w:rPr>
          <w:rFonts w:cs="Times New Roman"/>
          <w:sz w:val="24"/>
          <w:szCs w:val="24"/>
        </w:rPr>
        <w:t>"</w:t>
      </w:r>
      <w:r w:rsidR="008E48F1">
        <w:rPr>
          <w:rStyle w:val="FootnoteReference"/>
          <w:rFonts w:cs="Times New Roman"/>
          <w:sz w:val="24"/>
          <w:szCs w:val="24"/>
        </w:rPr>
        <w:footnoteReference w:id="71"/>
      </w:r>
      <w:r w:rsidR="00DB7E1B">
        <w:rPr>
          <w:rFonts w:cs="Times New Roman"/>
          <w:sz w:val="24"/>
          <w:szCs w:val="24"/>
        </w:rPr>
        <w:t xml:space="preserve"> </w:t>
      </w:r>
      <w:r w:rsidR="00825C17">
        <w:rPr>
          <w:rFonts w:cs="Times New Roman"/>
          <w:sz w:val="24"/>
          <w:szCs w:val="24"/>
        </w:rPr>
        <w:t xml:space="preserve"> </w:t>
      </w:r>
      <w:r w:rsidR="00F3609E">
        <w:rPr>
          <w:rFonts w:cs="Times New Roman"/>
          <w:sz w:val="24"/>
          <w:szCs w:val="24"/>
        </w:rPr>
        <w:t>This</w:t>
      </w:r>
      <w:r w:rsidR="00C959EB">
        <w:rPr>
          <w:rFonts w:cs="Times New Roman"/>
          <w:sz w:val="24"/>
          <w:szCs w:val="24"/>
        </w:rPr>
        <w:t xml:space="preserve"> rule </w:t>
      </w:r>
      <w:r w:rsidR="003F497A">
        <w:rPr>
          <w:rFonts w:cs="Times New Roman"/>
          <w:sz w:val="24"/>
          <w:szCs w:val="24"/>
        </w:rPr>
        <w:t>offers clarity and predictability</w:t>
      </w:r>
      <w:r w:rsidR="00C959EB">
        <w:rPr>
          <w:rFonts w:cs="Times New Roman"/>
          <w:sz w:val="24"/>
          <w:szCs w:val="24"/>
        </w:rPr>
        <w:t xml:space="preserve">, </w:t>
      </w:r>
      <w:r w:rsidR="003F497A">
        <w:rPr>
          <w:rFonts w:cs="Times New Roman"/>
          <w:sz w:val="24"/>
          <w:szCs w:val="24"/>
        </w:rPr>
        <w:t xml:space="preserve">values </w:t>
      </w:r>
      <w:r w:rsidR="00C959EB">
        <w:rPr>
          <w:rFonts w:cs="Times New Roman"/>
          <w:sz w:val="24"/>
          <w:szCs w:val="24"/>
        </w:rPr>
        <w:t xml:space="preserve">which Delaware </w:t>
      </w:r>
      <w:r w:rsidR="004A363C">
        <w:rPr>
          <w:rFonts w:cs="Times New Roman"/>
          <w:sz w:val="24"/>
          <w:szCs w:val="24"/>
        </w:rPr>
        <w:t xml:space="preserve">corporate law </w:t>
      </w:r>
      <w:r w:rsidR="000E090D">
        <w:rPr>
          <w:rFonts w:cs="Times New Roman"/>
          <w:sz w:val="24"/>
          <w:szCs w:val="24"/>
        </w:rPr>
        <w:t>has</w:t>
      </w:r>
      <w:r w:rsidR="00F25DC0">
        <w:rPr>
          <w:rFonts w:cs="Times New Roman"/>
          <w:sz w:val="24"/>
          <w:szCs w:val="24"/>
        </w:rPr>
        <w:t xml:space="preserve"> long </w:t>
      </w:r>
      <w:r w:rsidR="003F497A">
        <w:rPr>
          <w:rFonts w:cs="Times New Roman"/>
          <w:sz w:val="24"/>
          <w:szCs w:val="24"/>
        </w:rPr>
        <w:t>supported</w:t>
      </w:r>
      <w:r w:rsidR="00F25DC0">
        <w:rPr>
          <w:rFonts w:cs="Times New Roman"/>
          <w:sz w:val="24"/>
          <w:szCs w:val="24"/>
        </w:rPr>
        <w:t>.</w:t>
      </w:r>
      <w:r w:rsidR="00F25DC0">
        <w:rPr>
          <w:rStyle w:val="FootnoteReference"/>
          <w:rFonts w:cs="Times New Roman"/>
          <w:sz w:val="24"/>
          <w:szCs w:val="24"/>
        </w:rPr>
        <w:footnoteReference w:id="72"/>
      </w:r>
      <w:r w:rsidR="00E17B26">
        <w:rPr>
          <w:rFonts w:cs="Times New Roman"/>
          <w:sz w:val="24"/>
          <w:szCs w:val="24"/>
        </w:rPr>
        <w:t xml:space="preserve">  </w:t>
      </w:r>
      <w:r w:rsidR="00FA796B">
        <w:rPr>
          <w:rFonts w:cs="Times New Roman"/>
          <w:sz w:val="24"/>
          <w:szCs w:val="24"/>
        </w:rPr>
        <w:t xml:space="preserve">However, it also </w:t>
      </w:r>
      <w:r w:rsidR="00574EEE">
        <w:rPr>
          <w:rFonts w:cs="Times New Roman"/>
          <w:sz w:val="24"/>
          <w:szCs w:val="24"/>
        </w:rPr>
        <w:t xml:space="preserve">removes </w:t>
      </w:r>
      <w:r w:rsidR="00C1603C">
        <w:rPr>
          <w:rFonts w:cs="Times New Roman"/>
          <w:sz w:val="24"/>
          <w:szCs w:val="24"/>
        </w:rPr>
        <w:t xml:space="preserve">what </w:t>
      </w:r>
      <w:r w:rsidR="000D081F">
        <w:rPr>
          <w:rFonts w:cs="Times New Roman"/>
          <w:sz w:val="24"/>
          <w:szCs w:val="24"/>
        </w:rPr>
        <w:t xml:space="preserve">opponents of the amendment </w:t>
      </w:r>
      <w:r w:rsidR="00DE0654">
        <w:rPr>
          <w:rFonts w:cs="Times New Roman"/>
          <w:sz w:val="24"/>
          <w:szCs w:val="24"/>
        </w:rPr>
        <w:t xml:space="preserve">believe is </w:t>
      </w:r>
      <w:r w:rsidR="000D081F">
        <w:rPr>
          <w:rFonts w:cs="Times New Roman"/>
          <w:sz w:val="24"/>
          <w:szCs w:val="24"/>
        </w:rPr>
        <w:t xml:space="preserve">a valuable tool to </w:t>
      </w:r>
      <w:r w:rsidR="009743CE">
        <w:rPr>
          <w:rFonts w:cs="Times New Roman"/>
          <w:sz w:val="24"/>
          <w:szCs w:val="24"/>
        </w:rPr>
        <w:t xml:space="preserve">address the sharp rise in </w:t>
      </w:r>
      <w:r w:rsidR="003A39AC">
        <w:rPr>
          <w:rFonts w:cs="Times New Roman"/>
          <w:sz w:val="24"/>
          <w:szCs w:val="24"/>
        </w:rPr>
        <w:t>shareholder litigation</w:t>
      </w:r>
      <w:r w:rsidR="001C0078">
        <w:rPr>
          <w:rFonts w:cs="Times New Roman"/>
          <w:sz w:val="24"/>
          <w:szCs w:val="24"/>
        </w:rPr>
        <w:t>, discussed below.</w:t>
      </w:r>
      <w:r w:rsidR="009E707D">
        <w:rPr>
          <w:rStyle w:val="FootnoteReference"/>
          <w:rFonts w:cs="Times New Roman"/>
          <w:sz w:val="24"/>
          <w:szCs w:val="24"/>
        </w:rPr>
        <w:footnoteReference w:id="73"/>
      </w:r>
    </w:p>
    <w:p w14:paraId="3CF321EC" w14:textId="3E2E60FE" w:rsidR="002056BF" w:rsidRDefault="006243B9" w:rsidP="00021DB6">
      <w:pPr>
        <w:pStyle w:val="Heading2"/>
      </w:pPr>
      <w:r>
        <w:t>The Problem of</w:t>
      </w:r>
      <w:r w:rsidR="00A623AB">
        <w:t xml:space="preserve"> </w:t>
      </w:r>
      <w:r>
        <w:t>Excessive Litigation</w:t>
      </w:r>
    </w:p>
    <w:p w14:paraId="2A4E363F" w14:textId="77777777" w:rsidR="00A22374" w:rsidRDefault="00C910EC" w:rsidP="00316553">
      <w:pPr>
        <w:widowControl w:val="0"/>
        <w:spacing w:line="480" w:lineRule="auto"/>
        <w:ind w:firstLine="720"/>
        <w:jc w:val="both"/>
        <w:rPr>
          <w:rFonts w:cs="Times New Roman"/>
          <w:sz w:val="24"/>
          <w:szCs w:val="24"/>
        </w:rPr>
      </w:pPr>
      <w:r>
        <w:rPr>
          <w:rFonts w:cs="Times New Roman"/>
          <w:sz w:val="24"/>
          <w:szCs w:val="24"/>
        </w:rPr>
        <w:t>B</w:t>
      </w:r>
      <w:r w:rsidR="004F52C8">
        <w:rPr>
          <w:rFonts w:cs="Times New Roman"/>
          <w:sz w:val="24"/>
          <w:szCs w:val="24"/>
        </w:rPr>
        <w:t xml:space="preserve">oards </w:t>
      </w:r>
      <w:r w:rsidR="002F0AEC">
        <w:rPr>
          <w:rFonts w:cs="Times New Roman"/>
          <w:sz w:val="24"/>
          <w:szCs w:val="24"/>
        </w:rPr>
        <w:t>adopt</w:t>
      </w:r>
      <w:r w:rsidR="004F52C8">
        <w:rPr>
          <w:rFonts w:cs="Times New Roman"/>
          <w:sz w:val="24"/>
          <w:szCs w:val="24"/>
        </w:rPr>
        <w:t xml:space="preserve"> fee-shifting bylaw</w:t>
      </w:r>
      <w:r w:rsidR="00DF2749">
        <w:rPr>
          <w:rFonts w:cs="Times New Roman"/>
          <w:sz w:val="24"/>
          <w:szCs w:val="24"/>
        </w:rPr>
        <w:t>s</w:t>
      </w:r>
      <w:r w:rsidR="004F52C8">
        <w:rPr>
          <w:rFonts w:cs="Times New Roman"/>
          <w:sz w:val="24"/>
          <w:szCs w:val="24"/>
        </w:rPr>
        <w:t xml:space="preserve"> </w:t>
      </w:r>
      <w:r w:rsidR="00E0170F">
        <w:rPr>
          <w:rFonts w:cs="Times New Roman"/>
          <w:sz w:val="24"/>
          <w:szCs w:val="24"/>
        </w:rPr>
        <w:t xml:space="preserve">in part </w:t>
      </w:r>
      <w:r w:rsidR="001F4A7E">
        <w:rPr>
          <w:rFonts w:cs="Times New Roman"/>
          <w:sz w:val="24"/>
          <w:szCs w:val="24"/>
        </w:rPr>
        <w:t>to deter litigation.</w:t>
      </w:r>
      <w:r w:rsidR="00EB0530">
        <w:rPr>
          <w:rStyle w:val="FootnoteReference"/>
          <w:rFonts w:cs="Times New Roman"/>
          <w:sz w:val="24"/>
          <w:szCs w:val="24"/>
        </w:rPr>
        <w:footnoteReference w:id="74"/>
      </w:r>
      <w:r w:rsidR="001F4A7E">
        <w:rPr>
          <w:rFonts w:cs="Times New Roman"/>
          <w:sz w:val="24"/>
          <w:szCs w:val="24"/>
        </w:rPr>
        <w:t xml:space="preserve"> </w:t>
      </w:r>
      <w:r w:rsidR="002E2ABC">
        <w:rPr>
          <w:rFonts w:cs="Times New Roman"/>
          <w:sz w:val="24"/>
          <w:szCs w:val="24"/>
        </w:rPr>
        <w:t xml:space="preserve"> </w:t>
      </w:r>
      <w:r w:rsidR="00076965">
        <w:rPr>
          <w:rFonts w:cs="Times New Roman"/>
          <w:sz w:val="24"/>
          <w:szCs w:val="24"/>
        </w:rPr>
        <w:t xml:space="preserve">Shareholder </w:t>
      </w:r>
      <w:r w:rsidR="00A47C9D">
        <w:rPr>
          <w:rFonts w:cs="Times New Roman"/>
          <w:sz w:val="24"/>
          <w:szCs w:val="24"/>
        </w:rPr>
        <w:t>litigation has been on the rise</w:t>
      </w:r>
      <w:r w:rsidR="002A12F8">
        <w:rPr>
          <w:rFonts w:cs="Times New Roman"/>
          <w:sz w:val="24"/>
          <w:szCs w:val="24"/>
        </w:rPr>
        <w:t>, especiall</w:t>
      </w:r>
      <w:r w:rsidR="0000744A">
        <w:rPr>
          <w:rFonts w:cs="Times New Roman"/>
          <w:sz w:val="24"/>
          <w:szCs w:val="24"/>
        </w:rPr>
        <w:t>y with regard to transactions</w:t>
      </w:r>
      <w:r w:rsidR="00B54332">
        <w:rPr>
          <w:rFonts w:cs="Times New Roman"/>
          <w:sz w:val="24"/>
          <w:szCs w:val="24"/>
        </w:rPr>
        <w:t>.</w:t>
      </w:r>
      <w:r w:rsidR="00BB0F2D">
        <w:rPr>
          <w:rStyle w:val="FootnoteReference"/>
          <w:rFonts w:cs="Times New Roman"/>
          <w:sz w:val="24"/>
          <w:szCs w:val="24"/>
        </w:rPr>
        <w:footnoteReference w:id="75"/>
      </w:r>
      <w:r w:rsidR="00F353C3">
        <w:rPr>
          <w:rFonts w:cs="Times New Roman"/>
          <w:sz w:val="24"/>
          <w:szCs w:val="24"/>
        </w:rPr>
        <w:t xml:space="preserve">  </w:t>
      </w:r>
      <w:r w:rsidR="00DF2749">
        <w:rPr>
          <w:rFonts w:cs="Times New Roman"/>
          <w:sz w:val="24"/>
          <w:szCs w:val="24"/>
        </w:rPr>
        <w:t>The frequency</w:t>
      </w:r>
      <w:r w:rsidR="00646026">
        <w:rPr>
          <w:rFonts w:cs="Times New Roman"/>
          <w:sz w:val="24"/>
          <w:szCs w:val="24"/>
        </w:rPr>
        <w:t xml:space="preserve"> of</w:t>
      </w:r>
      <w:r w:rsidR="007022E8">
        <w:rPr>
          <w:rFonts w:cs="Times New Roman"/>
          <w:sz w:val="24"/>
          <w:szCs w:val="24"/>
        </w:rPr>
        <w:t xml:space="preserve"> merger-related </w:t>
      </w:r>
      <w:r w:rsidR="00AF3EC7">
        <w:rPr>
          <w:rFonts w:cs="Times New Roman"/>
          <w:sz w:val="24"/>
          <w:szCs w:val="24"/>
        </w:rPr>
        <w:t xml:space="preserve">lawsuits has </w:t>
      </w:r>
      <w:r w:rsidR="00287E34">
        <w:rPr>
          <w:rFonts w:cs="Times New Roman"/>
          <w:sz w:val="24"/>
          <w:szCs w:val="24"/>
        </w:rPr>
        <w:t>caught the attention of the judiciary</w:t>
      </w:r>
      <w:r w:rsidR="00AF3EC7">
        <w:rPr>
          <w:rFonts w:cs="Times New Roman"/>
          <w:sz w:val="24"/>
          <w:szCs w:val="24"/>
        </w:rPr>
        <w:t>, with Vice</w:t>
      </w:r>
      <w:r w:rsidR="00287E34">
        <w:rPr>
          <w:rFonts w:cs="Times New Roman"/>
          <w:sz w:val="24"/>
          <w:szCs w:val="24"/>
        </w:rPr>
        <w:t xml:space="preserve"> </w:t>
      </w:r>
      <w:r w:rsidR="00AF3EC7">
        <w:rPr>
          <w:rFonts w:cs="Times New Roman"/>
          <w:sz w:val="24"/>
          <w:szCs w:val="24"/>
        </w:rPr>
        <w:t>Chancellor</w:t>
      </w:r>
      <w:r w:rsidR="00287E34">
        <w:rPr>
          <w:rFonts w:cs="Times New Roman"/>
          <w:sz w:val="24"/>
          <w:szCs w:val="24"/>
        </w:rPr>
        <w:t xml:space="preserve"> Glasscock</w:t>
      </w:r>
      <w:r w:rsidR="00AF3EC7">
        <w:rPr>
          <w:rFonts w:cs="Times New Roman"/>
          <w:sz w:val="24"/>
          <w:szCs w:val="24"/>
        </w:rPr>
        <w:t xml:space="preserve"> of</w:t>
      </w:r>
      <w:r w:rsidR="00A22374">
        <w:rPr>
          <w:rFonts w:cs="Times New Roman"/>
          <w:sz w:val="24"/>
          <w:szCs w:val="24"/>
        </w:rPr>
        <w:t xml:space="preserve"> the Court of Chancery noting:</w:t>
      </w:r>
    </w:p>
    <w:p w14:paraId="6FCA49C9" w14:textId="77777777" w:rsidR="00A22374" w:rsidRDefault="00EC7C19" w:rsidP="00A22374">
      <w:pPr>
        <w:widowControl w:val="0"/>
        <w:spacing w:after="240"/>
        <w:ind w:left="1440" w:right="720"/>
        <w:jc w:val="both"/>
        <w:rPr>
          <w:rFonts w:cs="Times New Roman"/>
          <w:sz w:val="24"/>
          <w:szCs w:val="24"/>
        </w:rPr>
      </w:pPr>
      <w:r w:rsidRPr="00EC7C19">
        <w:rPr>
          <w:rFonts w:cs="Times New Roman"/>
          <w:sz w:val="24"/>
          <w:szCs w:val="24"/>
        </w:rPr>
        <w:t xml:space="preserve">For better or worse, after the announcement of a merger or acquisition, stockholder class action suits typically follow like mushrooms follow the rain. [. . .]  </w:t>
      </w:r>
      <w:r w:rsidR="00AF3EC7">
        <w:rPr>
          <w:rFonts w:cs="Times New Roman"/>
          <w:sz w:val="24"/>
          <w:szCs w:val="24"/>
        </w:rPr>
        <w:t>The fact that merger litigation has gone from common to ubiquitous in just a few years suggests that the current balance of incentives is flawed.</w:t>
      </w:r>
      <w:r w:rsidR="00AF3EC7">
        <w:rPr>
          <w:rStyle w:val="FootnoteReference"/>
          <w:rFonts w:cs="Times New Roman"/>
          <w:sz w:val="24"/>
          <w:szCs w:val="24"/>
        </w:rPr>
        <w:footnoteReference w:id="76"/>
      </w:r>
      <w:r w:rsidR="00AF3EC7">
        <w:rPr>
          <w:rFonts w:cs="Times New Roman"/>
          <w:sz w:val="24"/>
          <w:szCs w:val="24"/>
        </w:rPr>
        <w:t xml:space="preserve">  </w:t>
      </w:r>
    </w:p>
    <w:p w14:paraId="195AF8BA" w14:textId="3E7D959D" w:rsidR="002E2ABC" w:rsidRDefault="00150589" w:rsidP="00A22374">
      <w:pPr>
        <w:widowControl w:val="0"/>
        <w:spacing w:line="480" w:lineRule="auto"/>
        <w:jc w:val="both"/>
        <w:rPr>
          <w:rFonts w:cs="Times New Roman"/>
          <w:sz w:val="24"/>
          <w:szCs w:val="24"/>
        </w:rPr>
      </w:pPr>
      <w:r>
        <w:rPr>
          <w:rFonts w:cs="Times New Roman"/>
          <w:sz w:val="24"/>
          <w:szCs w:val="24"/>
        </w:rPr>
        <w:t>Some of these</w:t>
      </w:r>
      <w:r w:rsidR="00D07D2F">
        <w:rPr>
          <w:rFonts w:cs="Times New Roman"/>
          <w:sz w:val="24"/>
          <w:szCs w:val="24"/>
        </w:rPr>
        <w:t xml:space="preserve"> </w:t>
      </w:r>
      <w:r w:rsidR="009D039E">
        <w:rPr>
          <w:rFonts w:cs="Times New Roman"/>
          <w:sz w:val="24"/>
          <w:szCs w:val="24"/>
        </w:rPr>
        <w:t xml:space="preserve">suits offer minimal or no monetary compensation to stockholders while an average of $500,000 could be awarded to the plaintiff's lawyers </w:t>
      </w:r>
      <w:r w:rsidR="004438D5">
        <w:rPr>
          <w:rFonts w:cs="Times New Roman"/>
          <w:sz w:val="24"/>
          <w:szCs w:val="24"/>
        </w:rPr>
        <w:t>under the corporate benefit doctrine.</w:t>
      </w:r>
      <w:r w:rsidR="00687F22">
        <w:rPr>
          <w:rStyle w:val="FootnoteReference"/>
          <w:rFonts w:cs="Times New Roman"/>
          <w:sz w:val="24"/>
          <w:szCs w:val="24"/>
        </w:rPr>
        <w:footnoteReference w:id="77"/>
      </w:r>
      <w:r w:rsidR="00E3021C">
        <w:rPr>
          <w:rFonts w:cs="Times New Roman"/>
          <w:sz w:val="24"/>
          <w:szCs w:val="24"/>
        </w:rPr>
        <w:t xml:space="preserve"> </w:t>
      </w:r>
      <w:r w:rsidR="007022E8">
        <w:rPr>
          <w:rFonts w:cs="Times New Roman"/>
          <w:sz w:val="24"/>
          <w:szCs w:val="24"/>
        </w:rPr>
        <w:t xml:space="preserve"> </w:t>
      </w:r>
      <w:r w:rsidR="008401D4">
        <w:rPr>
          <w:rFonts w:cs="Times New Roman"/>
          <w:sz w:val="24"/>
          <w:szCs w:val="24"/>
        </w:rPr>
        <w:t>Critics</w:t>
      </w:r>
      <w:r w:rsidR="007022E8">
        <w:rPr>
          <w:rFonts w:cs="Times New Roman"/>
          <w:sz w:val="24"/>
          <w:szCs w:val="24"/>
        </w:rPr>
        <w:t xml:space="preserve"> </w:t>
      </w:r>
      <w:r w:rsidR="00825965">
        <w:rPr>
          <w:rFonts w:cs="Times New Roman"/>
          <w:sz w:val="24"/>
          <w:szCs w:val="24"/>
        </w:rPr>
        <w:t>warn of the potential for an industry supported solely by such lawsuit</w:t>
      </w:r>
      <w:r w:rsidR="007B2A2E">
        <w:rPr>
          <w:rFonts w:cs="Times New Roman"/>
          <w:sz w:val="24"/>
          <w:szCs w:val="24"/>
        </w:rPr>
        <w:t>s, in which the corporation</w:t>
      </w:r>
      <w:r w:rsidR="00825965">
        <w:rPr>
          <w:rFonts w:cs="Times New Roman"/>
          <w:sz w:val="24"/>
          <w:szCs w:val="24"/>
        </w:rPr>
        <w:t>s generally settle and agree to pay the plaintiffs' lawyers as part of the settlement agreement.</w:t>
      </w:r>
      <w:r w:rsidR="00825965">
        <w:rPr>
          <w:rStyle w:val="FootnoteReference"/>
          <w:rFonts w:cs="Times New Roman"/>
          <w:sz w:val="24"/>
          <w:szCs w:val="24"/>
        </w:rPr>
        <w:footnoteReference w:id="78"/>
      </w:r>
      <w:r w:rsidR="00825965">
        <w:rPr>
          <w:rFonts w:cs="Times New Roman"/>
          <w:sz w:val="24"/>
          <w:szCs w:val="24"/>
        </w:rPr>
        <w:t xml:space="preserve"> </w:t>
      </w:r>
      <w:r w:rsidR="008401D4">
        <w:rPr>
          <w:rFonts w:cs="Times New Roman"/>
          <w:sz w:val="24"/>
          <w:szCs w:val="24"/>
        </w:rPr>
        <w:t xml:space="preserve"> </w:t>
      </w:r>
      <w:r w:rsidR="003F30A3">
        <w:rPr>
          <w:rFonts w:cs="Times New Roman"/>
          <w:sz w:val="24"/>
          <w:szCs w:val="24"/>
        </w:rPr>
        <w:t>Because of the costs involved</w:t>
      </w:r>
      <w:r w:rsidR="007022E8">
        <w:rPr>
          <w:rFonts w:cs="Times New Roman"/>
          <w:sz w:val="24"/>
          <w:szCs w:val="24"/>
        </w:rPr>
        <w:t xml:space="preserve"> in defending these actions</w:t>
      </w:r>
      <w:r w:rsidR="003F30A3">
        <w:rPr>
          <w:rFonts w:cs="Times New Roman"/>
          <w:sz w:val="24"/>
          <w:szCs w:val="24"/>
        </w:rPr>
        <w:t>, c</w:t>
      </w:r>
      <w:r w:rsidR="00783C13">
        <w:rPr>
          <w:rFonts w:cs="Times New Roman"/>
          <w:sz w:val="24"/>
          <w:szCs w:val="24"/>
        </w:rPr>
        <w:t xml:space="preserve">orporations are motivated, therefore, to </w:t>
      </w:r>
      <w:r w:rsidR="00C20F60">
        <w:rPr>
          <w:rFonts w:cs="Times New Roman"/>
          <w:sz w:val="24"/>
          <w:szCs w:val="24"/>
        </w:rPr>
        <w:t xml:space="preserve">use the tools within their power to </w:t>
      </w:r>
      <w:r w:rsidR="00003F34">
        <w:rPr>
          <w:rFonts w:cs="Times New Roman"/>
          <w:sz w:val="24"/>
          <w:szCs w:val="24"/>
        </w:rPr>
        <w:t>reduce t</w:t>
      </w:r>
      <w:r w:rsidR="004E07C0">
        <w:rPr>
          <w:rFonts w:cs="Times New Roman"/>
          <w:sz w:val="24"/>
          <w:szCs w:val="24"/>
        </w:rPr>
        <w:t>his litigation.</w:t>
      </w:r>
    </w:p>
    <w:p w14:paraId="4615D24C" w14:textId="6F452B66" w:rsidR="0025223A" w:rsidRDefault="00F6551A" w:rsidP="00316553">
      <w:pPr>
        <w:widowControl w:val="0"/>
        <w:spacing w:line="480" w:lineRule="auto"/>
        <w:ind w:firstLine="720"/>
        <w:jc w:val="both"/>
        <w:rPr>
          <w:rFonts w:cs="Times New Roman"/>
          <w:sz w:val="24"/>
          <w:szCs w:val="24"/>
        </w:rPr>
      </w:pPr>
      <w:r>
        <w:rPr>
          <w:rFonts w:cs="Times New Roman"/>
          <w:sz w:val="24"/>
          <w:szCs w:val="24"/>
        </w:rPr>
        <w:t>A potential</w:t>
      </w:r>
      <w:r w:rsidR="00603952">
        <w:rPr>
          <w:rFonts w:cs="Times New Roman"/>
          <w:sz w:val="24"/>
          <w:szCs w:val="24"/>
        </w:rPr>
        <w:t xml:space="preserve"> </w:t>
      </w:r>
      <w:r w:rsidR="007B73A8">
        <w:rPr>
          <w:rFonts w:cs="Times New Roman"/>
          <w:sz w:val="24"/>
          <w:szCs w:val="24"/>
        </w:rPr>
        <w:t xml:space="preserve">advantage of </w:t>
      </w:r>
      <w:r w:rsidR="00AB28C2">
        <w:rPr>
          <w:rFonts w:cs="Times New Roman"/>
          <w:sz w:val="24"/>
          <w:szCs w:val="24"/>
        </w:rPr>
        <w:t>fee-shifting bylaw</w:t>
      </w:r>
      <w:r w:rsidR="005B1D16">
        <w:rPr>
          <w:rFonts w:cs="Times New Roman"/>
          <w:sz w:val="24"/>
          <w:szCs w:val="24"/>
        </w:rPr>
        <w:t>s</w:t>
      </w:r>
      <w:r w:rsidR="00AB28C2">
        <w:rPr>
          <w:rFonts w:cs="Times New Roman"/>
          <w:sz w:val="24"/>
          <w:szCs w:val="24"/>
        </w:rPr>
        <w:t xml:space="preserve"> </w:t>
      </w:r>
      <w:r w:rsidR="007B73A8">
        <w:rPr>
          <w:rFonts w:cs="Times New Roman"/>
          <w:sz w:val="24"/>
          <w:szCs w:val="24"/>
        </w:rPr>
        <w:t>is that</w:t>
      </w:r>
      <w:r w:rsidR="00547344">
        <w:rPr>
          <w:rFonts w:cs="Times New Roman"/>
          <w:sz w:val="24"/>
          <w:szCs w:val="24"/>
        </w:rPr>
        <w:t xml:space="preserve">, </w:t>
      </w:r>
      <w:r w:rsidR="0061227A">
        <w:rPr>
          <w:rFonts w:cs="Times New Roman"/>
          <w:sz w:val="24"/>
          <w:szCs w:val="24"/>
        </w:rPr>
        <w:t>when drafted properly</w:t>
      </w:r>
      <w:r w:rsidR="00547344">
        <w:rPr>
          <w:rFonts w:cs="Times New Roman"/>
          <w:sz w:val="24"/>
          <w:szCs w:val="24"/>
        </w:rPr>
        <w:t>,</w:t>
      </w:r>
      <w:r w:rsidR="007B73A8">
        <w:rPr>
          <w:rFonts w:cs="Times New Roman"/>
          <w:sz w:val="24"/>
          <w:szCs w:val="24"/>
        </w:rPr>
        <w:t xml:space="preserve"> </w:t>
      </w:r>
      <w:r w:rsidR="00547344">
        <w:rPr>
          <w:rFonts w:cs="Times New Roman"/>
          <w:sz w:val="24"/>
          <w:szCs w:val="24"/>
        </w:rPr>
        <w:t xml:space="preserve">they </w:t>
      </w:r>
      <w:r w:rsidR="00FE65D3">
        <w:rPr>
          <w:rFonts w:cs="Times New Roman"/>
          <w:sz w:val="24"/>
          <w:szCs w:val="24"/>
        </w:rPr>
        <w:t xml:space="preserve">can </w:t>
      </w:r>
      <w:r w:rsidR="00547344">
        <w:rPr>
          <w:rFonts w:cs="Times New Roman"/>
          <w:sz w:val="24"/>
          <w:szCs w:val="24"/>
        </w:rPr>
        <w:t>focus</w:t>
      </w:r>
      <w:r w:rsidR="007B73A8">
        <w:rPr>
          <w:rFonts w:cs="Times New Roman"/>
          <w:sz w:val="24"/>
          <w:szCs w:val="24"/>
        </w:rPr>
        <w:t xml:space="preserve"> deterrence on </w:t>
      </w:r>
      <w:r w:rsidR="008557F5">
        <w:rPr>
          <w:rFonts w:cs="Times New Roman"/>
          <w:sz w:val="24"/>
          <w:szCs w:val="24"/>
        </w:rPr>
        <w:t>the weakest claims</w:t>
      </w:r>
      <w:r w:rsidR="003F4304">
        <w:rPr>
          <w:rFonts w:cs="Times New Roman"/>
          <w:sz w:val="24"/>
          <w:szCs w:val="24"/>
        </w:rPr>
        <w:t>, such as frivolous lawsuits that are filed only to obtain a quick settlement</w:t>
      </w:r>
      <w:r w:rsidR="008557F5">
        <w:rPr>
          <w:rFonts w:cs="Times New Roman"/>
          <w:sz w:val="24"/>
          <w:szCs w:val="24"/>
        </w:rPr>
        <w:t>.</w:t>
      </w:r>
      <w:r w:rsidR="00F95F19">
        <w:rPr>
          <w:rStyle w:val="FootnoteReference"/>
          <w:rFonts w:cs="Times New Roman"/>
          <w:sz w:val="24"/>
          <w:szCs w:val="24"/>
        </w:rPr>
        <w:footnoteReference w:id="79"/>
      </w:r>
      <w:r w:rsidR="008557F5">
        <w:rPr>
          <w:rFonts w:cs="Times New Roman"/>
          <w:sz w:val="24"/>
          <w:szCs w:val="24"/>
        </w:rPr>
        <w:t xml:space="preserve">  </w:t>
      </w:r>
      <w:r w:rsidR="00AE0E82">
        <w:rPr>
          <w:rFonts w:cs="Times New Roman"/>
          <w:sz w:val="24"/>
          <w:szCs w:val="24"/>
        </w:rPr>
        <w:t>Theoretically</w:t>
      </w:r>
      <w:r w:rsidR="00CE22ED">
        <w:rPr>
          <w:rFonts w:cs="Times New Roman"/>
          <w:sz w:val="24"/>
          <w:szCs w:val="24"/>
        </w:rPr>
        <w:t>, a</w:t>
      </w:r>
      <w:r w:rsidR="00623B75">
        <w:rPr>
          <w:rFonts w:cs="Times New Roman"/>
          <w:sz w:val="24"/>
          <w:szCs w:val="24"/>
        </w:rPr>
        <w:t xml:space="preserve"> group of stockholders with </w:t>
      </w:r>
      <w:r w:rsidR="00077040">
        <w:rPr>
          <w:rFonts w:cs="Times New Roman"/>
          <w:sz w:val="24"/>
          <w:szCs w:val="24"/>
        </w:rPr>
        <w:t xml:space="preserve">evidence of a legitimate </w:t>
      </w:r>
      <w:r w:rsidR="00A23598">
        <w:rPr>
          <w:rFonts w:cs="Times New Roman"/>
          <w:sz w:val="24"/>
          <w:szCs w:val="24"/>
        </w:rPr>
        <w:t xml:space="preserve">claim </w:t>
      </w:r>
      <w:r w:rsidR="00FC788E">
        <w:rPr>
          <w:rFonts w:cs="Times New Roman"/>
          <w:sz w:val="24"/>
          <w:szCs w:val="24"/>
        </w:rPr>
        <w:t>would be undeterred</w:t>
      </w:r>
      <w:r w:rsidR="005556F2">
        <w:rPr>
          <w:rFonts w:cs="Times New Roman"/>
          <w:sz w:val="24"/>
          <w:szCs w:val="24"/>
        </w:rPr>
        <w:t xml:space="preserve"> by a fee-shifting bylaw</w:t>
      </w:r>
      <w:r w:rsidR="00FC788E">
        <w:rPr>
          <w:rFonts w:cs="Times New Roman"/>
          <w:sz w:val="24"/>
          <w:szCs w:val="24"/>
        </w:rPr>
        <w:t xml:space="preserve"> </w:t>
      </w:r>
      <w:r w:rsidR="00A45D75">
        <w:rPr>
          <w:rFonts w:cs="Times New Roman"/>
          <w:sz w:val="24"/>
          <w:szCs w:val="24"/>
        </w:rPr>
        <w:t>because they would be confident</w:t>
      </w:r>
      <w:r w:rsidR="00FC788E">
        <w:rPr>
          <w:rFonts w:cs="Times New Roman"/>
          <w:sz w:val="24"/>
          <w:szCs w:val="24"/>
        </w:rPr>
        <w:t xml:space="preserve"> </w:t>
      </w:r>
      <w:r w:rsidR="00A45D75">
        <w:rPr>
          <w:rFonts w:cs="Times New Roman"/>
          <w:sz w:val="24"/>
          <w:szCs w:val="24"/>
        </w:rPr>
        <w:t>of their ability</w:t>
      </w:r>
      <w:r w:rsidR="00667957">
        <w:rPr>
          <w:rFonts w:cs="Times New Roman"/>
          <w:sz w:val="24"/>
          <w:szCs w:val="24"/>
        </w:rPr>
        <w:t xml:space="preserve"> to </w:t>
      </w:r>
      <w:r w:rsidR="00E1623C">
        <w:rPr>
          <w:rFonts w:cs="Times New Roman"/>
          <w:sz w:val="24"/>
          <w:szCs w:val="24"/>
        </w:rPr>
        <w:t xml:space="preserve">win at trial.  </w:t>
      </w:r>
      <w:r w:rsidR="00FE5301">
        <w:rPr>
          <w:rFonts w:cs="Times New Roman"/>
          <w:sz w:val="24"/>
          <w:szCs w:val="24"/>
        </w:rPr>
        <w:t xml:space="preserve">Plaintiffs filing suit merely to get the attention of the corporation for the purpose of a </w:t>
      </w:r>
      <w:r w:rsidR="00792049">
        <w:rPr>
          <w:rFonts w:cs="Times New Roman"/>
          <w:sz w:val="24"/>
          <w:szCs w:val="24"/>
        </w:rPr>
        <w:t xml:space="preserve">so-called </w:t>
      </w:r>
      <w:r w:rsidR="00044556">
        <w:rPr>
          <w:rFonts w:cs="Times New Roman"/>
          <w:sz w:val="24"/>
          <w:szCs w:val="24"/>
        </w:rPr>
        <w:t>"</w:t>
      </w:r>
      <w:r w:rsidR="00C32284">
        <w:rPr>
          <w:rFonts w:cs="Times New Roman"/>
          <w:sz w:val="24"/>
          <w:szCs w:val="24"/>
        </w:rPr>
        <w:t>peppercorn settlement</w:t>
      </w:r>
      <w:r w:rsidR="00792049">
        <w:rPr>
          <w:rFonts w:cs="Times New Roman"/>
          <w:sz w:val="24"/>
          <w:szCs w:val="24"/>
        </w:rPr>
        <w:t>,</w:t>
      </w:r>
      <w:r w:rsidR="00044556">
        <w:rPr>
          <w:rFonts w:cs="Times New Roman"/>
          <w:sz w:val="24"/>
          <w:szCs w:val="24"/>
        </w:rPr>
        <w:t>"</w:t>
      </w:r>
      <w:r w:rsidR="000B46DC">
        <w:rPr>
          <w:rStyle w:val="FootnoteReference"/>
          <w:rFonts w:cs="Times New Roman"/>
          <w:sz w:val="24"/>
          <w:szCs w:val="24"/>
        </w:rPr>
        <w:footnoteReference w:id="80"/>
      </w:r>
      <w:r w:rsidR="00792049">
        <w:rPr>
          <w:rFonts w:cs="Times New Roman"/>
          <w:sz w:val="24"/>
          <w:szCs w:val="24"/>
        </w:rPr>
        <w:t xml:space="preserve"> meanwhile, </w:t>
      </w:r>
      <w:r w:rsidR="00205139">
        <w:rPr>
          <w:rFonts w:cs="Times New Roman"/>
          <w:sz w:val="24"/>
          <w:szCs w:val="24"/>
        </w:rPr>
        <w:t>would be unwilling to accept</w:t>
      </w:r>
      <w:r w:rsidR="00DA448D">
        <w:rPr>
          <w:rFonts w:cs="Times New Roman"/>
          <w:sz w:val="24"/>
          <w:szCs w:val="24"/>
        </w:rPr>
        <w:t xml:space="preserve"> the risk of </w:t>
      </w:r>
      <w:r w:rsidR="00205139">
        <w:rPr>
          <w:rFonts w:cs="Times New Roman"/>
          <w:sz w:val="24"/>
          <w:szCs w:val="24"/>
        </w:rPr>
        <w:t>having to reimburse the corporation for legal fees.</w:t>
      </w:r>
      <w:r w:rsidR="000C14D5">
        <w:rPr>
          <w:rFonts w:cs="Times New Roman"/>
          <w:sz w:val="24"/>
          <w:szCs w:val="24"/>
        </w:rPr>
        <w:t xml:space="preserve"> </w:t>
      </w:r>
      <w:r w:rsidR="003232A8">
        <w:rPr>
          <w:rFonts w:cs="Times New Roman"/>
          <w:sz w:val="24"/>
          <w:szCs w:val="24"/>
        </w:rPr>
        <w:t xml:space="preserve"> </w:t>
      </w:r>
      <w:r w:rsidR="006D1D44">
        <w:rPr>
          <w:rFonts w:cs="Times New Roman"/>
          <w:sz w:val="24"/>
          <w:szCs w:val="24"/>
        </w:rPr>
        <w:t>Therefore,</w:t>
      </w:r>
      <w:r w:rsidR="000D51E4">
        <w:rPr>
          <w:rFonts w:cs="Times New Roman"/>
          <w:sz w:val="24"/>
          <w:szCs w:val="24"/>
        </w:rPr>
        <w:t xml:space="preserve"> </w:t>
      </w:r>
      <w:r w:rsidR="00FC1DFE">
        <w:rPr>
          <w:rFonts w:cs="Times New Roman"/>
          <w:sz w:val="24"/>
          <w:szCs w:val="24"/>
        </w:rPr>
        <w:t>rather than punish</w:t>
      </w:r>
      <w:r w:rsidR="00CF1923">
        <w:rPr>
          <w:rFonts w:cs="Times New Roman"/>
          <w:sz w:val="24"/>
          <w:szCs w:val="24"/>
        </w:rPr>
        <w:t xml:space="preserve"> </w:t>
      </w:r>
      <w:r w:rsidR="003232A8">
        <w:rPr>
          <w:rFonts w:cs="Times New Roman"/>
          <w:sz w:val="24"/>
          <w:szCs w:val="24"/>
        </w:rPr>
        <w:t>shareholders who sue</w:t>
      </w:r>
      <w:r w:rsidR="00CF1923">
        <w:rPr>
          <w:rFonts w:cs="Times New Roman"/>
          <w:sz w:val="24"/>
          <w:szCs w:val="24"/>
        </w:rPr>
        <w:t xml:space="preserve">, </w:t>
      </w:r>
      <w:r w:rsidR="006A027E">
        <w:rPr>
          <w:rFonts w:cs="Times New Roman"/>
          <w:sz w:val="24"/>
          <w:szCs w:val="24"/>
        </w:rPr>
        <w:t xml:space="preserve">fee-shifting bylaws protect </w:t>
      </w:r>
      <w:r w:rsidR="00747C04">
        <w:rPr>
          <w:rFonts w:cs="Times New Roman"/>
          <w:sz w:val="24"/>
          <w:szCs w:val="24"/>
        </w:rPr>
        <w:t xml:space="preserve">all </w:t>
      </w:r>
      <w:r w:rsidR="00053601">
        <w:rPr>
          <w:rFonts w:cs="Times New Roman"/>
          <w:sz w:val="24"/>
          <w:szCs w:val="24"/>
        </w:rPr>
        <w:t>shareholders from</w:t>
      </w:r>
      <w:r w:rsidR="0077261F">
        <w:rPr>
          <w:rFonts w:cs="Times New Roman"/>
          <w:sz w:val="24"/>
          <w:szCs w:val="24"/>
        </w:rPr>
        <w:t xml:space="preserve"> having their investment squandered on </w:t>
      </w:r>
      <w:r w:rsidR="008D243D">
        <w:rPr>
          <w:rFonts w:cs="Times New Roman"/>
          <w:sz w:val="24"/>
          <w:szCs w:val="24"/>
        </w:rPr>
        <w:t xml:space="preserve">settlements </w:t>
      </w:r>
      <w:r w:rsidR="0089185D">
        <w:rPr>
          <w:rFonts w:cs="Times New Roman"/>
          <w:sz w:val="24"/>
          <w:szCs w:val="24"/>
        </w:rPr>
        <w:t>of</w:t>
      </w:r>
      <w:r w:rsidR="008D243D">
        <w:rPr>
          <w:rFonts w:cs="Times New Roman"/>
          <w:sz w:val="24"/>
          <w:szCs w:val="24"/>
        </w:rPr>
        <w:t xml:space="preserve"> illegitimate claims.</w:t>
      </w:r>
      <w:r w:rsidR="00C85B37">
        <w:rPr>
          <w:rStyle w:val="FootnoteReference"/>
          <w:rFonts w:cs="Times New Roman"/>
          <w:sz w:val="24"/>
          <w:szCs w:val="24"/>
        </w:rPr>
        <w:footnoteReference w:id="81"/>
      </w:r>
    </w:p>
    <w:p w14:paraId="472EBD78" w14:textId="5009A7E1" w:rsidR="00EA7838" w:rsidRDefault="00E43F18" w:rsidP="00316553">
      <w:pPr>
        <w:widowControl w:val="0"/>
        <w:spacing w:line="480" w:lineRule="auto"/>
        <w:ind w:firstLine="720"/>
        <w:jc w:val="both"/>
        <w:rPr>
          <w:rFonts w:cs="Times New Roman"/>
          <w:sz w:val="24"/>
          <w:szCs w:val="24"/>
        </w:rPr>
      </w:pPr>
      <w:r>
        <w:rPr>
          <w:rFonts w:cs="Times New Roman"/>
          <w:sz w:val="24"/>
          <w:szCs w:val="24"/>
        </w:rPr>
        <w:t xml:space="preserve">The problem, of course, is </w:t>
      </w:r>
      <w:r w:rsidR="00E346BB">
        <w:rPr>
          <w:rFonts w:cs="Times New Roman"/>
          <w:sz w:val="24"/>
          <w:szCs w:val="24"/>
        </w:rPr>
        <w:t xml:space="preserve">that </w:t>
      </w:r>
      <w:r w:rsidR="00A80289">
        <w:rPr>
          <w:rFonts w:cs="Times New Roman"/>
          <w:sz w:val="24"/>
          <w:szCs w:val="24"/>
        </w:rPr>
        <w:t>these</w:t>
      </w:r>
      <w:r w:rsidR="00AC07A7">
        <w:rPr>
          <w:rFonts w:cs="Times New Roman"/>
          <w:sz w:val="24"/>
          <w:szCs w:val="24"/>
        </w:rPr>
        <w:t xml:space="preserve"> bylaws </w:t>
      </w:r>
      <w:r w:rsidR="00A80289">
        <w:rPr>
          <w:rFonts w:cs="Times New Roman"/>
          <w:sz w:val="24"/>
          <w:szCs w:val="24"/>
        </w:rPr>
        <w:t xml:space="preserve">are not </w:t>
      </w:r>
      <w:r w:rsidR="006A2061">
        <w:rPr>
          <w:rFonts w:cs="Times New Roman"/>
          <w:sz w:val="24"/>
          <w:szCs w:val="24"/>
        </w:rPr>
        <w:t xml:space="preserve">crafted in such a way that they would only impact </w:t>
      </w:r>
      <w:r w:rsidR="00AC07A7">
        <w:rPr>
          <w:rFonts w:cs="Times New Roman"/>
          <w:sz w:val="24"/>
          <w:szCs w:val="24"/>
        </w:rPr>
        <w:t>frivolous claims.</w:t>
      </w:r>
      <w:r w:rsidR="00C369F3">
        <w:rPr>
          <w:rStyle w:val="FootnoteReference"/>
          <w:rFonts w:cs="Times New Roman"/>
          <w:sz w:val="24"/>
          <w:szCs w:val="24"/>
        </w:rPr>
        <w:footnoteReference w:id="82"/>
      </w:r>
      <w:r w:rsidR="00AC07A7">
        <w:rPr>
          <w:rFonts w:cs="Times New Roman"/>
          <w:sz w:val="24"/>
          <w:szCs w:val="24"/>
        </w:rPr>
        <w:t xml:space="preserve">  </w:t>
      </w:r>
      <w:r w:rsidR="0083420B">
        <w:rPr>
          <w:rFonts w:cs="Times New Roman"/>
          <w:sz w:val="24"/>
          <w:szCs w:val="24"/>
        </w:rPr>
        <w:t xml:space="preserve">As the Third Circuit pointed out, </w:t>
      </w:r>
      <w:r w:rsidR="00DA4233">
        <w:rPr>
          <w:rFonts w:cs="Times New Roman"/>
          <w:sz w:val="24"/>
          <w:szCs w:val="24"/>
        </w:rPr>
        <w:t xml:space="preserve">ATP Tour's fee-shifting provision </w:t>
      </w:r>
      <w:r w:rsidR="00DB67ED">
        <w:rPr>
          <w:rFonts w:cs="Times New Roman"/>
          <w:sz w:val="24"/>
          <w:szCs w:val="24"/>
        </w:rPr>
        <w:t>sweeps in</w:t>
      </w:r>
      <w:r w:rsidR="00032923">
        <w:rPr>
          <w:rFonts w:cs="Times New Roman"/>
          <w:sz w:val="24"/>
          <w:szCs w:val="24"/>
        </w:rPr>
        <w:t xml:space="preserve"> </w:t>
      </w:r>
      <w:r w:rsidR="004B17D2">
        <w:rPr>
          <w:rFonts w:cs="Times New Roman"/>
          <w:sz w:val="24"/>
          <w:szCs w:val="24"/>
        </w:rPr>
        <w:t>meritorious</w:t>
      </w:r>
      <w:r w:rsidR="00032923">
        <w:rPr>
          <w:rFonts w:cs="Times New Roman"/>
          <w:sz w:val="24"/>
          <w:szCs w:val="24"/>
        </w:rPr>
        <w:t xml:space="preserve"> and frivolous claims alike.</w:t>
      </w:r>
      <w:r w:rsidR="00BB08EA">
        <w:rPr>
          <w:rStyle w:val="FootnoteReference"/>
          <w:rFonts w:cs="Times New Roman"/>
          <w:sz w:val="24"/>
          <w:szCs w:val="24"/>
        </w:rPr>
        <w:footnoteReference w:id="83"/>
      </w:r>
      <w:r w:rsidR="00BB08EA">
        <w:rPr>
          <w:rFonts w:cs="Times New Roman"/>
          <w:sz w:val="24"/>
          <w:szCs w:val="24"/>
        </w:rPr>
        <w:t xml:space="preserve"> </w:t>
      </w:r>
      <w:r w:rsidR="00032923">
        <w:rPr>
          <w:rFonts w:cs="Times New Roman"/>
          <w:sz w:val="24"/>
          <w:szCs w:val="24"/>
        </w:rPr>
        <w:t xml:space="preserve"> </w:t>
      </w:r>
      <w:r w:rsidR="00CA70C0">
        <w:rPr>
          <w:rFonts w:cs="Times New Roman"/>
          <w:sz w:val="24"/>
          <w:szCs w:val="24"/>
        </w:rPr>
        <w:t xml:space="preserve">The standard required by the bylaw is so demanding that </w:t>
      </w:r>
      <w:r w:rsidR="00EE3D97">
        <w:rPr>
          <w:rFonts w:cs="Times New Roman"/>
          <w:sz w:val="24"/>
          <w:szCs w:val="24"/>
        </w:rPr>
        <w:t xml:space="preserve">as a practical matter few plaintiffs would </w:t>
      </w:r>
      <w:r w:rsidR="005B6870">
        <w:rPr>
          <w:rFonts w:cs="Times New Roman"/>
          <w:sz w:val="24"/>
          <w:szCs w:val="24"/>
        </w:rPr>
        <w:t xml:space="preserve">be likely to </w:t>
      </w:r>
      <w:r w:rsidR="00CC230E">
        <w:rPr>
          <w:rFonts w:cs="Times New Roman"/>
          <w:sz w:val="24"/>
          <w:szCs w:val="24"/>
        </w:rPr>
        <w:t>meet it</w:t>
      </w:r>
      <w:r w:rsidR="00E13FD5">
        <w:rPr>
          <w:rFonts w:cs="Times New Roman"/>
          <w:sz w:val="24"/>
          <w:szCs w:val="24"/>
        </w:rPr>
        <w:t xml:space="preserve">, effectively disenfranchising them from </w:t>
      </w:r>
      <w:r w:rsidR="00BD10D9">
        <w:rPr>
          <w:rFonts w:cs="Times New Roman"/>
          <w:sz w:val="24"/>
          <w:szCs w:val="24"/>
        </w:rPr>
        <w:t>judicial remedy</w:t>
      </w:r>
      <w:r w:rsidR="00D658E0">
        <w:rPr>
          <w:rFonts w:cs="Times New Roman"/>
          <w:sz w:val="24"/>
          <w:szCs w:val="24"/>
        </w:rPr>
        <w:t xml:space="preserve"> for board misconduct</w:t>
      </w:r>
      <w:r w:rsidR="00CC230E">
        <w:rPr>
          <w:rFonts w:cs="Times New Roman"/>
          <w:sz w:val="24"/>
          <w:szCs w:val="24"/>
        </w:rPr>
        <w:t>.</w:t>
      </w:r>
      <w:r w:rsidR="00584B13">
        <w:rPr>
          <w:rStyle w:val="FootnoteReference"/>
          <w:rFonts w:cs="Times New Roman"/>
          <w:sz w:val="24"/>
          <w:szCs w:val="24"/>
        </w:rPr>
        <w:footnoteReference w:id="84"/>
      </w:r>
      <w:r w:rsidR="00CC230E">
        <w:rPr>
          <w:rFonts w:cs="Times New Roman"/>
          <w:sz w:val="24"/>
          <w:szCs w:val="24"/>
        </w:rPr>
        <w:t xml:space="preserve"> </w:t>
      </w:r>
      <w:r w:rsidR="00421F5F">
        <w:rPr>
          <w:rFonts w:cs="Times New Roman"/>
          <w:sz w:val="24"/>
          <w:szCs w:val="24"/>
        </w:rPr>
        <w:t xml:space="preserve"> </w:t>
      </w:r>
      <w:r w:rsidR="001D1D3C">
        <w:rPr>
          <w:rFonts w:cs="Times New Roman"/>
          <w:sz w:val="24"/>
          <w:szCs w:val="24"/>
        </w:rPr>
        <w:t>Indeed, many feel that fee-shift</w:t>
      </w:r>
      <w:r w:rsidR="00E03F32">
        <w:rPr>
          <w:rFonts w:cs="Times New Roman"/>
          <w:sz w:val="24"/>
          <w:szCs w:val="24"/>
        </w:rPr>
        <w:t xml:space="preserve">ing bylaws are one step too far: </w:t>
      </w:r>
      <w:r w:rsidR="00044556">
        <w:rPr>
          <w:rFonts w:cs="Times New Roman"/>
          <w:sz w:val="24"/>
          <w:szCs w:val="24"/>
        </w:rPr>
        <w:t>"</w:t>
      </w:r>
      <w:r w:rsidR="00E03F32">
        <w:rPr>
          <w:rFonts w:cs="Times New Roman"/>
          <w:sz w:val="24"/>
          <w:szCs w:val="24"/>
        </w:rPr>
        <w:t>Delaware courts have granted [those in favor of fee-shifting bylaws] ample tools to deal with shareholder litigation[,] and chipping away at limited liability might be a cure that is worse than the disease.</w:t>
      </w:r>
      <w:r w:rsidR="00044556">
        <w:rPr>
          <w:rFonts w:cs="Times New Roman"/>
          <w:sz w:val="24"/>
          <w:szCs w:val="24"/>
        </w:rPr>
        <w:t>"</w:t>
      </w:r>
      <w:r w:rsidR="00F94323">
        <w:rPr>
          <w:rStyle w:val="FootnoteReference"/>
          <w:rFonts w:cs="Times New Roman"/>
          <w:sz w:val="24"/>
          <w:szCs w:val="24"/>
        </w:rPr>
        <w:footnoteReference w:id="85"/>
      </w:r>
      <w:r w:rsidR="001D1D3C">
        <w:rPr>
          <w:rFonts w:cs="Times New Roman"/>
          <w:sz w:val="24"/>
          <w:szCs w:val="24"/>
        </w:rPr>
        <w:t xml:space="preserve">  </w:t>
      </w:r>
      <w:r w:rsidR="00030C50">
        <w:rPr>
          <w:rFonts w:cs="Times New Roman"/>
          <w:sz w:val="24"/>
          <w:szCs w:val="24"/>
        </w:rPr>
        <w:t>L</w:t>
      </w:r>
      <w:r w:rsidR="00446B26">
        <w:rPr>
          <w:rFonts w:cs="Times New Roman"/>
          <w:sz w:val="24"/>
          <w:szCs w:val="24"/>
        </w:rPr>
        <w:t>imits</w:t>
      </w:r>
      <w:r w:rsidR="006D27EA">
        <w:rPr>
          <w:rFonts w:cs="Times New Roman"/>
          <w:sz w:val="24"/>
          <w:szCs w:val="24"/>
        </w:rPr>
        <w:t xml:space="preserve"> </w:t>
      </w:r>
      <w:r w:rsidR="000307B7">
        <w:rPr>
          <w:rFonts w:cs="Times New Roman"/>
          <w:sz w:val="24"/>
          <w:szCs w:val="24"/>
        </w:rPr>
        <w:t>may be</w:t>
      </w:r>
      <w:r w:rsidR="00B63052">
        <w:rPr>
          <w:rFonts w:cs="Times New Roman"/>
          <w:sz w:val="24"/>
          <w:szCs w:val="24"/>
        </w:rPr>
        <w:t xml:space="preserve"> necessary </w:t>
      </w:r>
      <w:r w:rsidR="00D96152">
        <w:rPr>
          <w:rFonts w:cs="Times New Roman"/>
          <w:sz w:val="24"/>
          <w:szCs w:val="24"/>
        </w:rPr>
        <w:t xml:space="preserve">in order to balance </w:t>
      </w:r>
      <w:r w:rsidR="00895480">
        <w:rPr>
          <w:rFonts w:cs="Times New Roman"/>
          <w:sz w:val="24"/>
          <w:szCs w:val="24"/>
        </w:rPr>
        <w:t>deterrence</w:t>
      </w:r>
      <w:r w:rsidR="007D5317">
        <w:rPr>
          <w:rFonts w:cs="Times New Roman"/>
          <w:sz w:val="24"/>
          <w:szCs w:val="24"/>
        </w:rPr>
        <w:t xml:space="preserve"> of</w:t>
      </w:r>
      <w:r w:rsidR="00467814">
        <w:rPr>
          <w:rFonts w:cs="Times New Roman"/>
          <w:sz w:val="24"/>
          <w:szCs w:val="24"/>
        </w:rPr>
        <w:t xml:space="preserve"> </w:t>
      </w:r>
      <w:r w:rsidR="00537028">
        <w:rPr>
          <w:rFonts w:cs="Times New Roman"/>
          <w:sz w:val="24"/>
          <w:szCs w:val="24"/>
        </w:rPr>
        <w:t>frivolous</w:t>
      </w:r>
      <w:r w:rsidR="00467814">
        <w:rPr>
          <w:rFonts w:cs="Times New Roman"/>
          <w:sz w:val="24"/>
          <w:szCs w:val="24"/>
        </w:rPr>
        <w:t xml:space="preserve"> litigation with </w:t>
      </w:r>
      <w:r w:rsidR="00A15801">
        <w:rPr>
          <w:rFonts w:cs="Times New Roman"/>
          <w:sz w:val="24"/>
          <w:szCs w:val="24"/>
        </w:rPr>
        <w:t xml:space="preserve">reasonable access to judicial review of </w:t>
      </w:r>
      <w:r w:rsidR="00CB65F2">
        <w:rPr>
          <w:rFonts w:cs="Times New Roman"/>
          <w:sz w:val="24"/>
          <w:szCs w:val="24"/>
        </w:rPr>
        <w:t>board conduct.</w:t>
      </w:r>
      <w:r w:rsidR="00942113">
        <w:rPr>
          <w:rStyle w:val="FootnoteReference"/>
          <w:rFonts w:cs="Times New Roman"/>
          <w:sz w:val="24"/>
          <w:szCs w:val="24"/>
        </w:rPr>
        <w:footnoteReference w:id="86"/>
      </w:r>
    </w:p>
    <w:p w14:paraId="3F5E54CF" w14:textId="7FBB021A" w:rsidR="00AC7116" w:rsidRDefault="00AB66CA" w:rsidP="00231191">
      <w:pPr>
        <w:widowControl w:val="0"/>
        <w:spacing w:line="480" w:lineRule="auto"/>
        <w:ind w:firstLine="720"/>
        <w:jc w:val="both"/>
        <w:rPr>
          <w:rFonts w:cs="Times New Roman"/>
          <w:sz w:val="24"/>
          <w:szCs w:val="24"/>
        </w:rPr>
      </w:pPr>
      <w:r>
        <w:rPr>
          <w:rFonts w:cs="Times New Roman"/>
          <w:sz w:val="24"/>
          <w:szCs w:val="24"/>
        </w:rPr>
        <w:t xml:space="preserve">Given the legitimate interest of corporations and their shareholders in </w:t>
      </w:r>
      <w:r w:rsidR="00E87D32">
        <w:rPr>
          <w:rFonts w:cs="Times New Roman"/>
          <w:sz w:val="24"/>
          <w:szCs w:val="24"/>
        </w:rPr>
        <w:t xml:space="preserve">limiting unnecessary </w:t>
      </w:r>
      <w:r w:rsidR="00FF0E7B">
        <w:rPr>
          <w:rFonts w:cs="Times New Roman"/>
          <w:sz w:val="24"/>
          <w:szCs w:val="24"/>
        </w:rPr>
        <w:t xml:space="preserve">litigation expenses, </w:t>
      </w:r>
      <w:r w:rsidR="00BA647B">
        <w:rPr>
          <w:rFonts w:cs="Times New Roman"/>
          <w:sz w:val="24"/>
          <w:szCs w:val="24"/>
        </w:rPr>
        <w:t xml:space="preserve">anyone who hopes to prohibit fee-shifting bylaws should be prepared to </w:t>
      </w:r>
      <w:r w:rsidR="005E46B0">
        <w:rPr>
          <w:rFonts w:cs="Times New Roman"/>
          <w:sz w:val="24"/>
          <w:szCs w:val="24"/>
        </w:rPr>
        <w:t>offer alternative solutions to the excessive litigation problem.</w:t>
      </w:r>
      <w:r w:rsidR="00C226DE">
        <w:rPr>
          <w:rStyle w:val="FootnoteReference"/>
          <w:rFonts w:cs="Times New Roman"/>
          <w:sz w:val="24"/>
          <w:szCs w:val="24"/>
        </w:rPr>
        <w:footnoteReference w:id="87"/>
      </w:r>
      <w:r w:rsidR="00F435DC">
        <w:rPr>
          <w:rFonts w:cs="Times New Roman"/>
          <w:sz w:val="24"/>
          <w:szCs w:val="24"/>
        </w:rPr>
        <w:t xml:space="preserve"> </w:t>
      </w:r>
      <w:r w:rsidR="00C226DE">
        <w:rPr>
          <w:rFonts w:cs="Times New Roman"/>
          <w:sz w:val="24"/>
          <w:szCs w:val="24"/>
        </w:rPr>
        <w:t xml:space="preserve"> </w:t>
      </w:r>
      <w:r w:rsidR="00CF0C47">
        <w:rPr>
          <w:rFonts w:cs="Times New Roman"/>
          <w:sz w:val="24"/>
          <w:szCs w:val="24"/>
        </w:rPr>
        <w:t>At the same time</w:t>
      </w:r>
      <w:r w:rsidR="00B96AB2">
        <w:rPr>
          <w:rFonts w:cs="Times New Roman"/>
          <w:sz w:val="24"/>
          <w:szCs w:val="24"/>
        </w:rPr>
        <w:t>, there are valid concerns raised by fee-shifting bylaws, as discussed above,</w:t>
      </w:r>
      <w:r w:rsidR="00E70608">
        <w:rPr>
          <w:rStyle w:val="FootnoteReference"/>
          <w:rFonts w:cs="Times New Roman"/>
          <w:sz w:val="24"/>
          <w:szCs w:val="24"/>
        </w:rPr>
        <w:footnoteReference w:id="88"/>
      </w:r>
      <w:r w:rsidR="00B96AB2">
        <w:rPr>
          <w:rFonts w:cs="Times New Roman"/>
          <w:sz w:val="24"/>
          <w:szCs w:val="24"/>
        </w:rPr>
        <w:t xml:space="preserve"> so </w:t>
      </w:r>
      <w:r w:rsidR="002F53B9">
        <w:rPr>
          <w:rFonts w:cs="Times New Roman"/>
          <w:sz w:val="24"/>
          <w:szCs w:val="24"/>
        </w:rPr>
        <w:t xml:space="preserve">the legal </w:t>
      </w:r>
      <w:r w:rsidR="00866F66">
        <w:rPr>
          <w:rFonts w:cs="Times New Roman"/>
          <w:sz w:val="24"/>
          <w:szCs w:val="24"/>
        </w:rPr>
        <w:t xml:space="preserve">support for </w:t>
      </w:r>
      <w:r w:rsidR="004C6D50">
        <w:rPr>
          <w:rFonts w:cs="Times New Roman"/>
          <w:sz w:val="24"/>
          <w:szCs w:val="24"/>
        </w:rPr>
        <w:t>such</w:t>
      </w:r>
      <w:r w:rsidR="00866F66">
        <w:rPr>
          <w:rFonts w:cs="Times New Roman"/>
          <w:sz w:val="24"/>
          <w:szCs w:val="24"/>
        </w:rPr>
        <w:t xml:space="preserve"> bylaws </w:t>
      </w:r>
      <w:r w:rsidR="002774C3">
        <w:rPr>
          <w:rFonts w:cs="Times New Roman"/>
          <w:sz w:val="24"/>
          <w:szCs w:val="24"/>
        </w:rPr>
        <w:t xml:space="preserve">must be </w:t>
      </w:r>
      <w:r w:rsidR="00321AF4">
        <w:rPr>
          <w:rFonts w:cs="Times New Roman"/>
          <w:sz w:val="24"/>
          <w:szCs w:val="24"/>
        </w:rPr>
        <w:t>clear</w:t>
      </w:r>
      <w:r w:rsidR="00960ED2">
        <w:rPr>
          <w:rFonts w:cs="Times New Roman"/>
          <w:sz w:val="24"/>
          <w:szCs w:val="24"/>
        </w:rPr>
        <w:t xml:space="preserve"> if they are to be a legitimate tool for corporations</w:t>
      </w:r>
      <w:r w:rsidR="00D66CFD">
        <w:rPr>
          <w:rFonts w:cs="Times New Roman"/>
          <w:sz w:val="24"/>
          <w:szCs w:val="24"/>
        </w:rPr>
        <w:t xml:space="preserve"> seeking to deter frivolous litigation</w:t>
      </w:r>
      <w:r w:rsidR="00321AF4">
        <w:rPr>
          <w:rFonts w:cs="Times New Roman"/>
          <w:sz w:val="24"/>
          <w:szCs w:val="24"/>
        </w:rPr>
        <w:t xml:space="preserve">.  </w:t>
      </w:r>
      <w:r w:rsidR="00A0208B">
        <w:rPr>
          <w:rFonts w:cs="Times New Roman"/>
          <w:sz w:val="24"/>
          <w:szCs w:val="24"/>
        </w:rPr>
        <w:t>Potential</w:t>
      </w:r>
      <w:r w:rsidR="0076143A">
        <w:rPr>
          <w:rFonts w:cs="Times New Roman"/>
          <w:sz w:val="24"/>
          <w:szCs w:val="24"/>
        </w:rPr>
        <w:t xml:space="preserve"> support can be found in the </w:t>
      </w:r>
      <w:r w:rsidR="00CA7F20">
        <w:rPr>
          <w:rFonts w:cs="Times New Roman"/>
          <w:sz w:val="24"/>
          <w:szCs w:val="24"/>
        </w:rPr>
        <w:t xml:space="preserve">Court of Chancery's endorsement of </w:t>
      </w:r>
      <w:r w:rsidR="00111F42">
        <w:rPr>
          <w:rFonts w:cs="Times New Roman"/>
          <w:sz w:val="24"/>
          <w:szCs w:val="24"/>
        </w:rPr>
        <w:t>forum selection bylaws,</w:t>
      </w:r>
      <w:r w:rsidR="0027231B">
        <w:rPr>
          <w:rFonts w:cs="Times New Roman"/>
          <w:sz w:val="24"/>
          <w:szCs w:val="24"/>
        </w:rPr>
        <w:t xml:space="preserve"> explored in Part I</w:t>
      </w:r>
      <w:r w:rsidR="000D339A">
        <w:rPr>
          <w:rFonts w:cs="Times New Roman"/>
          <w:sz w:val="24"/>
          <w:szCs w:val="24"/>
        </w:rPr>
        <w:t>I</w:t>
      </w:r>
      <w:r w:rsidR="0027231B">
        <w:rPr>
          <w:rFonts w:cs="Times New Roman"/>
          <w:sz w:val="24"/>
          <w:szCs w:val="24"/>
        </w:rPr>
        <w:t>I.C., below.</w:t>
      </w:r>
    </w:p>
    <w:p w14:paraId="3F1339B5" w14:textId="4EC817B8" w:rsidR="007437FF" w:rsidRDefault="00173EFC" w:rsidP="00021DB6">
      <w:pPr>
        <w:pStyle w:val="Heading2"/>
      </w:pPr>
      <w:r>
        <w:t>Fee Shifting vs. Forum Selection</w:t>
      </w:r>
    </w:p>
    <w:p w14:paraId="794B45DC" w14:textId="3D6A62AE" w:rsidR="00C45E53" w:rsidRPr="00CE598D" w:rsidRDefault="004E5B0B" w:rsidP="00316553">
      <w:pPr>
        <w:widowControl w:val="0"/>
        <w:spacing w:line="480" w:lineRule="auto"/>
        <w:ind w:firstLine="720"/>
        <w:jc w:val="both"/>
        <w:rPr>
          <w:rFonts w:cs="Times New Roman"/>
          <w:sz w:val="24"/>
          <w:szCs w:val="24"/>
        </w:rPr>
      </w:pPr>
      <w:r>
        <w:rPr>
          <w:rFonts w:cs="Times New Roman"/>
          <w:sz w:val="24"/>
          <w:szCs w:val="24"/>
        </w:rPr>
        <w:t>Forum selection bylaws reflect an earlier attempt by corporate boards to decrease litigation expenses.</w:t>
      </w:r>
      <w:r w:rsidR="00A54ADE">
        <w:rPr>
          <w:rStyle w:val="FootnoteReference"/>
          <w:rFonts w:cs="Times New Roman"/>
          <w:sz w:val="24"/>
          <w:szCs w:val="24"/>
        </w:rPr>
        <w:footnoteReference w:id="89"/>
      </w:r>
      <w:r>
        <w:rPr>
          <w:rFonts w:cs="Times New Roman"/>
          <w:sz w:val="24"/>
          <w:szCs w:val="24"/>
        </w:rPr>
        <w:t xml:space="preserve">  </w:t>
      </w:r>
      <w:r w:rsidR="001C505A">
        <w:rPr>
          <w:rFonts w:cs="Times New Roman"/>
          <w:sz w:val="24"/>
          <w:szCs w:val="24"/>
        </w:rPr>
        <w:t>In</w:t>
      </w:r>
      <w:r w:rsidR="00DB2493">
        <w:rPr>
          <w:rFonts w:cs="Times New Roman"/>
          <w:sz w:val="24"/>
          <w:szCs w:val="24"/>
        </w:rPr>
        <w:t xml:space="preserve"> </w:t>
      </w:r>
      <w:r w:rsidR="00DB2493">
        <w:rPr>
          <w:rFonts w:cs="Times New Roman"/>
          <w:i/>
          <w:sz w:val="24"/>
          <w:szCs w:val="24"/>
        </w:rPr>
        <w:t>Boilermakers</w:t>
      </w:r>
      <w:r w:rsidR="00DB2493">
        <w:rPr>
          <w:rFonts w:cs="Times New Roman"/>
          <w:sz w:val="24"/>
          <w:szCs w:val="24"/>
        </w:rPr>
        <w:t xml:space="preserve">, </w:t>
      </w:r>
      <w:r w:rsidR="00F64624">
        <w:rPr>
          <w:rFonts w:cs="Times New Roman"/>
          <w:sz w:val="24"/>
          <w:szCs w:val="24"/>
        </w:rPr>
        <w:t xml:space="preserve">the Delaware Court of Chancery </w:t>
      </w:r>
      <w:r w:rsidR="009C7BD3">
        <w:rPr>
          <w:rFonts w:cs="Times New Roman"/>
          <w:sz w:val="24"/>
          <w:szCs w:val="24"/>
        </w:rPr>
        <w:t xml:space="preserve">upheld </w:t>
      </w:r>
      <w:r w:rsidR="0066607E">
        <w:rPr>
          <w:rFonts w:cs="Times New Roman"/>
          <w:sz w:val="24"/>
          <w:szCs w:val="24"/>
        </w:rPr>
        <w:t xml:space="preserve">the facial validity of </w:t>
      </w:r>
      <w:r w:rsidR="00FC1592">
        <w:rPr>
          <w:rFonts w:cs="Times New Roman"/>
          <w:sz w:val="24"/>
          <w:szCs w:val="24"/>
        </w:rPr>
        <w:t xml:space="preserve">a forum selection bylaw as adopted by Chevron Corporation and FedEx </w:t>
      </w:r>
      <w:r w:rsidR="003E7ECE">
        <w:rPr>
          <w:rFonts w:cs="Times New Roman"/>
          <w:sz w:val="24"/>
          <w:szCs w:val="24"/>
        </w:rPr>
        <w:t>Corporation.</w:t>
      </w:r>
      <w:r w:rsidR="00850F25">
        <w:rPr>
          <w:rStyle w:val="FootnoteReference"/>
          <w:rFonts w:cs="Times New Roman"/>
          <w:sz w:val="24"/>
          <w:szCs w:val="24"/>
        </w:rPr>
        <w:footnoteReference w:id="90"/>
      </w:r>
      <w:r w:rsidR="00876844">
        <w:rPr>
          <w:rFonts w:cs="Times New Roman"/>
          <w:sz w:val="24"/>
          <w:szCs w:val="24"/>
        </w:rPr>
        <w:t xml:space="preserve">  Although </w:t>
      </w:r>
      <w:r w:rsidR="00344103">
        <w:rPr>
          <w:rFonts w:cs="Times New Roman"/>
          <w:sz w:val="24"/>
          <w:szCs w:val="24"/>
        </w:rPr>
        <w:t>the claims against Chevron and FedEx never made it to the</w:t>
      </w:r>
      <w:r w:rsidR="0087403F">
        <w:rPr>
          <w:rFonts w:cs="Times New Roman"/>
          <w:sz w:val="24"/>
          <w:szCs w:val="24"/>
        </w:rPr>
        <w:t xml:space="preserve"> Delaware</w:t>
      </w:r>
      <w:r w:rsidR="00344103">
        <w:rPr>
          <w:rFonts w:cs="Times New Roman"/>
          <w:sz w:val="24"/>
          <w:szCs w:val="24"/>
        </w:rPr>
        <w:t xml:space="preserve"> Supreme Court for review, </w:t>
      </w:r>
      <w:r w:rsidR="007D0D34">
        <w:rPr>
          <w:rFonts w:cs="Times New Roman"/>
          <w:sz w:val="24"/>
          <w:szCs w:val="24"/>
        </w:rPr>
        <w:t xml:space="preserve">the Court did indicate support for </w:t>
      </w:r>
      <w:r w:rsidR="00C346A3">
        <w:rPr>
          <w:rFonts w:cs="Times New Roman"/>
          <w:i/>
          <w:sz w:val="24"/>
          <w:szCs w:val="24"/>
        </w:rPr>
        <w:t>Boilermakers</w:t>
      </w:r>
      <w:r w:rsidR="007D0D34">
        <w:rPr>
          <w:rFonts w:cs="Times New Roman"/>
          <w:sz w:val="24"/>
          <w:szCs w:val="24"/>
        </w:rPr>
        <w:t xml:space="preserve"> </w:t>
      </w:r>
      <w:r w:rsidR="0045431E">
        <w:rPr>
          <w:rFonts w:cs="Times New Roman"/>
          <w:sz w:val="24"/>
          <w:szCs w:val="24"/>
        </w:rPr>
        <w:t>by</w:t>
      </w:r>
      <w:r w:rsidR="0047371B">
        <w:rPr>
          <w:rFonts w:cs="Times New Roman"/>
          <w:sz w:val="24"/>
          <w:szCs w:val="24"/>
        </w:rPr>
        <w:t xml:space="preserve"> favorably </w:t>
      </w:r>
      <w:r w:rsidR="0045431E">
        <w:rPr>
          <w:rFonts w:cs="Times New Roman"/>
          <w:sz w:val="24"/>
          <w:szCs w:val="24"/>
        </w:rPr>
        <w:t>citing</w:t>
      </w:r>
      <w:r w:rsidR="0047371B">
        <w:rPr>
          <w:rFonts w:cs="Times New Roman"/>
          <w:sz w:val="24"/>
          <w:szCs w:val="24"/>
        </w:rPr>
        <w:t xml:space="preserve"> to </w:t>
      </w:r>
      <w:r w:rsidR="00C346A3" w:rsidRPr="00C346A3">
        <w:rPr>
          <w:rFonts w:cs="Times New Roman"/>
          <w:sz w:val="24"/>
          <w:szCs w:val="24"/>
        </w:rPr>
        <w:t>it</w:t>
      </w:r>
      <w:r w:rsidR="0047371B">
        <w:rPr>
          <w:rFonts w:cs="Times New Roman"/>
          <w:i/>
          <w:sz w:val="24"/>
          <w:szCs w:val="24"/>
        </w:rPr>
        <w:t xml:space="preserve"> </w:t>
      </w:r>
      <w:r w:rsidR="0047371B">
        <w:rPr>
          <w:rFonts w:cs="Times New Roman"/>
          <w:sz w:val="24"/>
          <w:szCs w:val="24"/>
        </w:rPr>
        <w:t xml:space="preserve">in </w:t>
      </w:r>
      <w:r w:rsidR="0047371B">
        <w:rPr>
          <w:rFonts w:cs="Times New Roman"/>
          <w:i/>
          <w:sz w:val="24"/>
          <w:szCs w:val="24"/>
        </w:rPr>
        <w:t>ATP Tour</w:t>
      </w:r>
      <w:r w:rsidR="0047371B">
        <w:rPr>
          <w:rFonts w:cs="Times New Roman"/>
          <w:sz w:val="24"/>
          <w:szCs w:val="24"/>
        </w:rPr>
        <w:t>.</w:t>
      </w:r>
      <w:r w:rsidR="002B05D0">
        <w:rPr>
          <w:rStyle w:val="FootnoteReference"/>
          <w:rFonts w:cs="Times New Roman"/>
          <w:sz w:val="24"/>
          <w:szCs w:val="24"/>
        </w:rPr>
        <w:footnoteReference w:id="91"/>
      </w:r>
      <w:r w:rsidR="00652E43">
        <w:rPr>
          <w:rFonts w:cs="Times New Roman"/>
          <w:sz w:val="24"/>
          <w:szCs w:val="24"/>
        </w:rPr>
        <w:t xml:space="preserve">  </w:t>
      </w:r>
      <w:r w:rsidR="008B4F89">
        <w:rPr>
          <w:rFonts w:cs="Times New Roman"/>
          <w:sz w:val="24"/>
          <w:szCs w:val="24"/>
        </w:rPr>
        <w:t xml:space="preserve">The Court in </w:t>
      </w:r>
      <w:r w:rsidR="008B4F89">
        <w:rPr>
          <w:rFonts w:cs="Times New Roman"/>
          <w:i/>
          <w:sz w:val="24"/>
          <w:szCs w:val="24"/>
        </w:rPr>
        <w:t xml:space="preserve">ATP Tour </w:t>
      </w:r>
      <w:r w:rsidR="009E1F81">
        <w:rPr>
          <w:rFonts w:cs="Times New Roman"/>
          <w:sz w:val="24"/>
          <w:szCs w:val="24"/>
        </w:rPr>
        <w:t xml:space="preserve">also </w:t>
      </w:r>
      <w:r w:rsidR="00A5281B">
        <w:rPr>
          <w:rFonts w:cs="Times New Roman"/>
          <w:sz w:val="24"/>
          <w:szCs w:val="24"/>
        </w:rPr>
        <w:t xml:space="preserve">echoed concepts </w:t>
      </w:r>
      <w:r w:rsidR="00AD375D">
        <w:rPr>
          <w:rFonts w:cs="Times New Roman"/>
          <w:sz w:val="24"/>
          <w:szCs w:val="24"/>
        </w:rPr>
        <w:t>articulated</w:t>
      </w:r>
      <w:r w:rsidR="00D36C78">
        <w:rPr>
          <w:rFonts w:cs="Times New Roman"/>
          <w:sz w:val="24"/>
          <w:szCs w:val="24"/>
        </w:rPr>
        <w:t xml:space="preserve"> in </w:t>
      </w:r>
      <w:r w:rsidR="00D36C78">
        <w:rPr>
          <w:rFonts w:cs="Times New Roman"/>
          <w:i/>
          <w:sz w:val="24"/>
          <w:szCs w:val="24"/>
        </w:rPr>
        <w:t>Boilermakers</w:t>
      </w:r>
      <w:r w:rsidR="00D36C78">
        <w:rPr>
          <w:rFonts w:cs="Times New Roman"/>
          <w:sz w:val="24"/>
          <w:szCs w:val="24"/>
        </w:rPr>
        <w:t>, and</w:t>
      </w:r>
      <w:r w:rsidR="00D36C78">
        <w:rPr>
          <w:rFonts w:cs="Times New Roman"/>
          <w:i/>
          <w:sz w:val="24"/>
          <w:szCs w:val="24"/>
        </w:rPr>
        <w:t xml:space="preserve"> </w:t>
      </w:r>
      <w:r w:rsidR="00D36C78">
        <w:rPr>
          <w:rFonts w:cs="Times New Roman"/>
          <w:sz w:val="24"/>
          <w:szCs w:val="24"/>
        </w:rPr>
        <w:t>m</w:t>
      </w:r>
      <w:r w:rsidR="00A70741">
        <w:rPr>
          <w:rFonts w:cs="Times New Roman"/>
          <w:sz w:val="24"/>
          <w:szCs w:val="24"/>
        </w:rPr>
        <w:t xml:space="preserve">uch of the reasoning </w:t>
      </w:r>
      <w:r w:rsidR="00AD375D">
        <w:rPr>
          <w:rFonts w:cs="Times New Roman"/>
          <w:sz w:val="24"/>
          <w:szCs w:val="24"/>
        </w:rPr>
        <w:t xml:space="preserve">used in then-Chancellor Strine's </w:t>
      </w:r>
      <w:r w:rsidR="00FA7D05">
        <w:rPr>
          <w:rFonts w:cs="Times New Roman"/>
          <w:sz w:val="24"/>
          <w:szCs w:val="24"/>
        </w:rPr>
        <w:t>analysis of forum selection bylaws can be directly applied to the concept of fee-shifting bylaws.</w:t>
      </w:r>
      <w:r w:rsidR="00424027">
        <w:rPr>
          <w:rStyle w:val="FootnoteReference"/>
          <w:rFonts w:cs="Times New Roman"/>
          <w:sz w:val="24"/>
          <w:szCs w:val="24"/>
        </w:rPr>
        <w:footnoteReference w:id="92"/>
      </w:r>
    </w:p>
    <w:p w14:paraId="3F8D073F" w14:textId="5D5E1E8A" w:rsidR="00740AF2" w:rsidRDefault="0030502E" w:rsidP="00316553">
      <w:pPr>
        <w:widowControl w:val="0"/>
        <w:spacing w:line="480" w:lineRule="auto"/>
        <w:ind w:firstLine="720"/>
        <w:jc w:val="both"/>
        <w:rPr>
          <w:rFonts w:cs="Times New Roman"/>
          <w:sz w:val="24"/>
          <w:szCs w:val="24"/>
        </w:rPr>
      </w:pPr>
      <w:r>
        <w:rPr>
          <w:rFonts w:cs="Times New Roman"/>
          <w:sz w:val="24"/>
          <w:szCs w:val="24"/>
        </w:rPr>
        <w:t>T</w:t>
      </w:r>
      <w:r w:rsidR="00C45E53">
        <w:rPr>
          <w:rFonts w:cs="Times New Roman"/>
          <w:sz w:val="24"/>
          <w:szCs w:val="24"/>
        </w:rPr>
        <w:t xml:space="preserve">he </w:t>
      </w:r>
      <w:r w:rsidR="00B458D7">
        <w:rPr>
          <w:rFonts w:cs="Times New Roman"/>
          <w:i/>
          <w:sz w:val="24"/>
          <w:szCs w:val="24"/>
        </w:rPr>
        <w:t>Boilermakers</w:t>
      </w:r>
      <w:r w:rsidR="00B458D7">
        <w:rPr>
          <w:rFonts w:cs="Times New Roman"/>
          <w:sz w:val="24"/>
          <w:szCs w:val="24"/>
        </w:rPr>
        <w:t xml:space="preserve"> </w:t>
      </w:r>
      <w:r w:rsidR="00C45E53">
        <w:rPr>
          <w:rFonts w:cs="Times New Roman"/>
          <w:sz w:val="24"/>
          <w:szCs w:val="24"/>
        </w:rPr>
        <w:t>opinion emphasized the contractual nature of bylaws</w:t>
      </w:r>
      <w:r w:rsidR="0072233E">
        <w:rPr>
          <w:rStyle w:val="FootnoteReference"/>
          <w:rFonts w:cs="Times New Roman"/>
          <w:sz w:val="24"/>
          <w:szCs w:val="24"/>
        </w:rPr>
        <w:footnoteReference w:id="93"/>
      </w:r>
      <w:r w:rsidR="00C45E53">
        <w:rPr>
          <w:rFonts w:cs="Times New Roman"/>
          <w:sz w:val="24"/>
          <w:szCs w:val="24"/>
        </w:rPr>
        <w:t xml:space="preserve"> to support its holding that</w:t>
      </w:r>
      <w:r w:rsidR="00A64B10">
        <w:rPr>
          <w:rFonts w:cs="Times New Roman"/>
          <w:sz w:val="24"/>
          <w:szCs w:val="24"/>
        </w:rPr>
        <w:t xml:space="preserve"> the</w:t>
      </w:r>
      <w:r w:rsidR="00C45E53">
        <w:rPr>
          <w:rFonts w:cs="Times New Roman"/>
          <w:sz w:val="24"/>
          <w:szCs w:val="24"/>
        </w:rPr>
        <w:t xml:space="preserve"> </w:t>
      </w:r>
      <w:r w:rsidR="00A64B10">
        <w:rPr>
          <w:rFonts w:cs="Times New Roman"/>
          <w:sz w:val="24"/>
          <w:szCs w:val="24"/>
        </w:rPr>
        <w:t>bylaws were contractually binding</w:t>
      </w:r>
      <w:r w:rsidR="00CC3246">
        <w:rPr>
          <w:rFonts w:cs="Times New Roman"/>
          <w:sz w:val="24"/>
          <w:szCs w:val="24"/>
        </w:rPr>
        <w:t xml:space="preserve"> against shareholders even though they were unilaterally adopted by the board</w:t>
      </w:r>
      <w:r w:rsidR="00A64B10">
        <w:rPr>
          <w:rFonts w:cs="Times New Roman"/>
          <w:sz w:val="24"/>
          <w:szCs w:val="24"/>
        </w:rPr>
        <w:t>.</w:t>
      </w:r>
      <w:r w:rsidR="00A64B10">
        <w:rPr>
          <w:rStyle w:val="FootnoteReference"/>
          <w:rFonts w:cs="Times New Roman"/>
          <w:sz w:val="24"/>
          <w:szCs w:val="24"/>
        </w:rPr>
        <w:footnoteReference w:id="94"/>
      </w:r>
      <w:r w:rsidR="00D8412A">
        <w:rPr>
          <w:rFonts w:cs="Times New Roman"/>
          <w:sz w:val="24"/>
          <w:szCs w:val="24"/>
        </w:rPr>
        <w:t xml:space="preserve">  </w:t>
      </w:r>
      <w:r w:rsidR="00B05171">
        <w:rPr>
          <w:rFonts w:cs="Times New Roman"/>
          <w:sz w:val="24"/>
          <w:szCs w:val="24"/>
        </w:rPr>
        <w:t>The court explained:</w:t>
      </w:r>
    </w:p>
    <w:p w14:paraId="384433FC" w14:textId="0CA1CAD7" w:rsidR="00B05171" w:rsidRDefault="00B05171" w:rsidP="00E41379">
      <w:pPr>
        <w:widowControl w:val="0"/>
        <w:spacing w:after="240"/>
        <w:ind w:left="1440" w:right="720"/>
        <w:jc w:val="both"/>
        <w:rPr>
          <w:rFonts w:cs="Times New Roman"/>
          <w:sz w:val="24"/>
          <w:szCs w:val="24"/>
        </w:rPr>
      </w:pPr>
      <w:r>
        <w:rPr>
          <w:rFonts w:cs="Times New Roman"/>
          <w:sz w:val="24"/>
          <w:szCs w:val="24"/>
        </w:rPr>
        <w:t>[T]he bylaws of a Delaware corporation constitute part of a binding broader contract among the directors, officers, and stockholders formed within the statutory framework of the DGCL.  This contract is, by design, flexible and subject to change in the manner that the DGCL spells out and that investors know about when they purchase stock in a Delaware corporation.</w:t>
      </w:r>
      <w:r>
        <w:rPr>
          <w:rStyle w:val="FootnoteReference"/>
          <w:rFonts w:cs="Times New Roman"/>
          <w:sz w:val="24"/>
          <w:szCs w:val="24"/>
        </w:rPr>
        <w:footnoteReference w:id="95"/>
      </w:r>
    </w:p>
    <w:p w14:paraId="760A74B4" w14:textId="033DD67B" w:rsidR="000C1FF0" w:rsidRDefault="00497DAA" w:rsidP="00316553">
      <w:pPr>
        <w:widowControl w:val="0"/>
        <w:spacing w:line="480" w:lineRule="auto"/>
        <w:jc w:val="both"/>
        <w:rPr>
          <w:rFonts w:cs="Times New Roman"/>
          <w:sz w:val="24"/>
          <w:szCs w:val="24"/>
        </w:rPr>
      </w:pPr>
      <w:r>
        <w:rPr>
          <w:rFonts w:cs="Times New Roman"/>
          <w:sz w:val="24"/>
          <w:szCs w:val="24"/>
        </w:rPr>
        <w:t xml:space="preserve">Shareholders are therefore considered to be on notice of any potential change in bylaws by the board of directors, without their consent, when they </w:t>
      </w:r>
      <w:r w:rsidR="006C668E">
        <w:rPr>
          <w:rFonts w:cs="Times New Roman"/>
          <w:sz w:val="24"/>
          <w:szCs w:val="24"/>
        </w:rPr>
        <w:t>choose to invest.</w:t>
      </w:r>
      <w:r w:rsidR="006C668E">
        <w:rPr>
          <w:rStyle w:val="FootnoteReference"/>
          <w:rFonts w:cs="Times New Roman"/>
          <w:sz w:val="24"/>
          <w:szCs w:val="24"/>
        </w:rPr>
        <w:footnoteReference w:id="96"/>
      </w:r>
      <w:r w:rsidR="00021200">
        <w:rPr>
          <w:rFonts w:cs="Times New Roman"/>
          <w:sz w:val="24"/>
          <w:szCs w:val="24"/>
        </w:rPr>
        <w:t xml:space="preserve"> </w:t>
      </w:r>
      <w:r w:rsidR="00C106C9">
        <w:rPr>
          <w:rFonts w:cs="Times New Roman"/>
          <w:sz w:val="24"/>
          <w:szCs w:val="24"/>
        </w:rPr>
        <w:t xml:space="preserve"> </w:t>
      </w:r>
      <w:r w:rsidR="008D638D" w:rsidRPr="00C07704">
        <w:rPr>
          <w:rFonts w:cs="Times New Roman"/>
          <w:i/>
          <w:sz w:val="24"/>
          <w:szCs w:val="24"/>
        </w:rPr>
        <w:t>ATP Tour</w:t>
      </w:r>
      <w:r w:rsidR="00C106C9">
        <w:rPr>
          <w:rFonts w:cs="Times New Roman"/>
          <w:sz w:val="24"/>
          <w:szCs w:val="24"/>
        </w:rPr>
        <w:t xml:space="preserve"> confirms that</w:t>
      </w:r>
      <w:r w:rsidR="008D638D" w:rsidRPr="00C07704">
        <w:rPr>
          <w:rFonts w:cs="Times New Roman"/>
          <w:sz w:val="24"/>
          <w:szCs w:val="24"/>
        </w:rPr>
        <w:t xml:space="preserve"> </w:t>
      </w:r>
      <w:r w:rsidR="008D638D">
        <w:rPr>
          <w:rFonts w:cs="Times New Roman"/>
          <w:sz w:val="24"/>
          <w:szCs w:val="24"/>
        </w:rPr>
        <w:t>a</w:t>
      </w:r>
      <w:r w:rsidR="008D638D" w:rsidRPr="00C07704">
        <w:rPr>
          <w:rFonts w:cs="Times New Roman"/>
          <w:sz w:val="24"/>
          <w:szCs w:val="24"/>
        </w:rPr>
        <w:t xml:space="preserve"> board may unilaterally adopt fee-shifting bylaws.</w:t>
      </w:r>
      <w:r w:rsidR="008D638D">
        <w:rPr>
          <w:rStyle w:val="FootnoteReference"/>
          <w:rFonts w:cs="Times New Roman"/>
          <w:sz w:val="24"/>
          <w:szCs w:val="24"/>
        </w:rPr>
        <w:footnoteReference w:id="97"/>
      </w:r>
      <w:r w:rsidR="008D638D" w:rsidRPr="00C07704">
        <w:rPr>
          <w:rFonts w:cs="Times New Roman"/>
          <w:sz w:val="24"/>
          <w:szCs w:val="24"/>
        </w:rPr>
        <w:t xml:space="preserve"> </w:t>
      </w:r>
      <w:r w:rsidR="00A62590">
        <w:rPr>
          <w:rFonts w:cs="Times New Roman"/>
          <w:sz w:val="24"/>
          <w:szCs w:val="24"/>
        </w:rPr>
        <w:t xml:space="preserve"> </w:t>
      </w:r>
    </w:p>
    <w:p w14:paraId="32353360" w14:textId="3E66C283" w:rsidR="00497DAA" w:rsidRPr="004F382D" w:rsidRDefault="00A446D1" w:rsidP="00316553">
      <w:pPr>
        <w:widowControl w:val="0"/>
        <w:spacing w:line="480" w:lineRule="auto"/>
        <w:ind w:firstLine="720"/>
        <w:jc w:val="both"/>
        <w:rPr>
          <w:rFonts w:cs="Times New Roman"/>
          <w:sz w:val="24"/>
          <w:szCs w:val="24"/>
        </w:rPr>
      </w:pPr>
      <w:r>
        <w:rPr>
          <w:rFonts w:cs="Times New Roman"/>
          <w:sz w:val="24"/>
          <w:szCs w:val="24"/>
        </w:rPr>
        <w:t>Admittedly, fee-shifting bylaws are a novel</w:t>
      </w:r>
      <w:r w:rsidR="006C3F22">
        <w:rPr>
          <w:rFonts w:cs="Times New Roman"/>
          <w:sz w:val="24"/>
          <w:szCs w:val="24"/>
        </w:rPr>
        <w:t>ty</w:t>
      </w:r>
      <w:r w:rsidR="006321B8">
        <w:rPr>
          <w:rFonts w:cs="Times New Roman"/>
          <w:sz w:val="24"/>
          <w:szCs w:val="24"/>
        </w:rPr>
        <w:t>,</w:t>
      </w:r>
      <w:r>
        <w:rPr>
          <w:rFonts w:cs="Times New Roman"/>
          <w:sz w:val="24"/>
          <w:szCs w:val="24"/>
        </w:rPr>
        <w:t xml:space="preserve"> </w:t>
      </w:r>
      <w:r w:rsidR="006321B8">
        <w:rPr>
          <w:rFonts w:cs="Times New Roman"/>
          <w:sz w:val="24"/>
          <w:szCs w:val="24"/>
        </w:rPr>
        <w:t xml:space="preserve">so there is </w:t>
      </w:r>
      <w:r w:rsidR="00A508B9">
        <w:rPr>
          <w:rFonts w:cs="Times New Roman"/>
          <w:sz w:val="24"/>
          <w:szCs w:val="24"/>
        </w:rPr>
        <w:t>a certain amount of unfairness in</w:t>
      </w:r>
      <w:r w:rsidR="0078214E">
        <w:rPr>
          <w:rFonts w:cs="Times New Roman"/>
          <w:sz w:val="24"/>
          <w:szCs w:val="24"/>
        </w:rPr>
        <w:t xml:space="preserve"> </w:t>
      </w:r>
      <w:r w:rsidR="00A508B9">
        <w:rPr>
          <w:rFonts w:cs="Times New Roman"/>
          <w:sz w:val="24"/>
          <w:szCs w:val="24"/>
        </w:rPr>
        <w:t xml:space="preserve">expecting stockholders to </w:t>
      </w:r>
      <w:r w:rsidR="00DA2323">
        <w:rPr>
          <w:rFonts w:cs="Times New Roman"/>
          <w:sz w:val="24"/>
          <w:szCs w:val="24"/>
        </w:rPr>
        <w:t>look for them</w:t>
      </w:r>
      <w:r w:rsidR="0078214E">
        <w:rPr>
          <w:rFonts w:cs="Times New Roman"/>
          <w:sz w:val="24"/>
          <w:szCs w:val="24"/>
        </w:rPr>
        <w:t>.</w:t>
      </w:r>
      <w:r w:rsidR="00960A8A">
        <w:rPr>
          <w:rStyle w:val="FootnoteReference"/>
          <w:rFonts w:cs="Times New Roman"/>
          <w:sz w:val="24"/>
          <w:szCs w:val="24"/>
        </w:rPr>
        <w:footnoteReference w:id="98"/>
      </w:r>
      <w:r w:rsidR="00E50A2B">
        <w:rPr>
          <w:rFonts w:cs="Times New Roman"/>
          <w:sz w:val="24"/>
          <w:szCs w:val="24"/>
        </w:rPr>
        <w:t xml:space="preserve"> </w:t>
      </w:r>
      <w:r w:rsidR="003376AB">
        <w:rPr>
          <w:rFonts w:cs="Times New Roman"/>
          <w:sz w:val="24"/>
          <w:szCs w:val="24"/>
        </w:rPr>
        <w:t xml:space="preserve"> However, a</w:t>
      </w:r>
      <w:r w:rsidR="008464A6">
        <w:rPr>
          <w:rFonts w:cs="Times New Roman"/>
          <w:sz w:val="24"/>
          <w:szCs w:val="24"/>
        </w:rPr>
        <w:t xml:space="preserve">s the Supreme Court </w:t>
      </w:r>
      <w:r w:rsidR="004F382D">
        <w:rPr>
          <w:rFonts w:cs="Times New Roman"/>
          <w:sz w:val="24"/>
          <w:szCs w:val="24"/>
        </w:rPr>
        <w:t xml:space="preserve">articulated in </w:t>
      </w:r>
      <w:r w:rsidR="004F382D">
        <w:rPr>
          <w:rFonts w:cs="Times New Roman"/>
          <w:i/>
          <w:sz w:val="24"/>
          <w:szCs w:val="24"/>
        </w:rPr>
        <w:t>Unocal</w:t>
      </w:r>
      <w:r w:rsidR="004F382D">
        <w:rPr>
          <w:rFonts w:cs="Times New Roman"/>
          <w:sz w:val="24"/>
          <w:szCs w:val="24"/>
        </w:rPr>
        <w:t xml:space="preserve">, </w:t>
      </w:r>
      <w:r w:rsidR="00044556">
        <w:rPr>
          <w:rFonts w:cs="Times New Roman"/>
          <w:sz w:val="24"/>
          <w:szCs w:val="24"/>
        </w:rPr>
        <w:t>"</w:t>
      </w:r>
      <w:r w:rsidR="004F382D">
        <w:rPr>
          <w:rFonts w:cs="Times New Roman"/>
          <w:sz w:val="24"/>
          <w:szCs w:val="24"/>
        </w:rPr>
        <w:t>[O]ur corporate law is not static.  It must grow and develop in response to, indeed in anticipation of, evolving concepts and needs.</w:t>
      </w:r>
      <w:r w:rsidR="00044556">
        <w:rPr>
          <w:rFonts w:cs="Times New Roman"/>
          <w:sz w:val="24"/>
          <w:szCs w:val="24"/>
        </w:rPr>
        <w:t>"</w:t>
      </w:r>
      <w:r w:rsidR="000D285B">
        <w:rPr>
          <w:rStyle w:val="FootnoteReference"/>
          <w:rFonts w:cs="Times New Roman"/>
          <w:sz w:val="24"/>
          <w:szCs w:val="24"/>
        </w:rPr>
        <w:footnoteReference w:id="99"/>
      </w:r>
      <w:r w:rsidR="003376AB">
        <w:rPr>
          <w:rFonts w:cs="Times New Roman"/>
          <w:sz w:val="24"/>
          <w:szCs w:val="24"/>
        </w:rPr>
        <w:t xml:space="preserve">  Given</w:t>
      </w:r>
      <w:r w:rsidR="00113AF0">
        <w:rPr>
          <w:rFonts w:cs="Times New Roman"/>
          <w:sz w:val="24"/>
          <w:szCs w:val="24"/>
        </w:rPr>
        <w:t xml:space="preserve"> the fluid nature of Delaware corporate law, it seems reasonable to charge </w:t>
      </w:r>
      <w:r w:rsidR="0087733F">
        <w:rPr>
          <w:rFonts w:cs="Times New Roman"/>
          <w:sz w:val="24"/>
          <w:szCs w:val="24"/>
        </w:rPr>
        <w:t xml:space="preserve">at least some </w:t>
      </w:r>
      <w:r w:rsidR="00113AF0">
        <w:rPr>
          <w:rFonts w:cs="Times New Roman"/>
          <w:sz w:val="24"/>
          <w:szCs w:val="24"/>
        </w:rPr>
        <w:t>stockholders</w:t>
      </w:r>
      <w:r w:rsidR="00CD2E92">
        <w:rPr>
          <w:rFonts w:cs="Times New Roman"/>
          <w:sz w:val="24"/>
          <w:szCs w:val="24"/>
        </w:rPr>
        <w:t>, such as institutional investors,</w:t>
      </w:r>
      <w:r w:rsidR="00113AF0">
        <w:rPr>
          <w:rFonts w:cs="Times New Roman"/>
          <w:sz w:val="24"/>
          <w:szCs w:val="24"/>
        </w:rPr>
        <w:t xml:space="preserve"> with responsibility for keeping abreast </w:t>
      </w:r>
      <w:r w:rsidR="00794D4E">
        <w:rPr>
          <w:rFonts w:cs="Times New Roman"/>
          <w:sz w:val="24"/>
          <w:szCs w:val="24"/>
        </w:rPr>
        <w:t>of developme</w:t>
      </w:r>
      <w:r w:rsidR="007337E6">
        <w:rPr>
          <w:rFonts w:cs="Times New Roman"/>
          <w:sz w:val="24"/>
          <w:szCs w:val="24"/>
        </w:rPr>
        <w:t>nts such as fee-shifting bylaws</w:t>
      </w:r>
      <w:r w:rsidR="00794D4E">
        <w:rPr>
          <w:rFonts w:cs="Times New Roman"/>
          <w:sz w:val="24"/>
          <w:szCs w:val="24"/>
        </w:rPr>
        <w:t>.</w:t>
      </w:r>
    </w:p>
    <w:p w14:paraId="4BEA6774" w14:textId="4D7E8F95" w:rsidR="00784758" w:rsidRDefault="00784758" w:rsidP="00316553">
      <w:pPr>
        <w:widowControl w:val="0"/>
        <w:spacing w:line="480" w:lineRule="auto"/>
        <w:ind w:firstLine="720"/>
        <w:jc w:val="both"/>
        <w:rPr>
          <w:rFonts w:cs="Times New Roman"/>
          <w:sz w:val="24"/>
          <w:szCs w:val="24"/>
        </w:rPr>
      </w:pPr>
      <w:r>
        <w:rPr>
          <w:rFonts w:cs="Times New Roman"/>
          <w:sz w:val="24"/>
          <w:szCs w:val="24"/>
        </w:rPr>
        <w:t xml:space="preserve">As noted by then-Chancellor Strine in </w:t>
      </w:r>
      <w:r>
        <w:rPr>
          <w:rFonts w:cs="Times New Roman"/>
          <w:i/>
          <w:sz w:val="24"/>
          <w:szCs w:val="24"/>
        </w:rPr>
        <w:t>Boilermakers</w:t>
      </w:r>
      <w:r>
        <w:rPr>
          <w:rFonts w:cs="Times New Roman"/>
          <w:sz w:val="24"/>
          <w:szCs w:val="24"/>
        </w:rPr>
        <w:t xml:space="preserve">, </w:t>
      </w:r>
      <w:r w:rsidR="00044556">
        <w:rPr>
          <w:rFonts w:cs="Times New Roman"/>
          <w:sz w:val="24"/>
          <w:szCs w:val="24"/>
        </w:rPr>
        <w:t>"</w:t>
      </w:r>
      <w:r>
        <w:rPr>
          <w:rFonts w:cs="Times New Roman"/>
          <w:sz w:val="24"/>
          <w:szCs w:val="24"/>
        </w:rPr>
        <w:t>[T]he boards of Delaware corporations have the flexibility to respond to changing dynamics in ways that are authorized by our statutory law.</w:t>
      </w:r>
      <w:r w:rsidR="00044556">
        <w:rPr>
          <w:rFonts w:cs="Times New Roman"/>
          <w:sz w:val="24"/>
          <w:szCs w:val="24"/>
        </w:rPr>
        <w:t>"</w:t>
      </w:r>
      <w:r>
        <w:rPr>
          <w:rStyle w:val="FootnoteReference"/>
          <w:rFonts w:cs="Times New Roman"/>
          <w:sz w:val="24"/>
          <w:szCs w:val="24"/>
        </w:rPr>
        <w:footnoteReference w:id="100"/>
      </w:r>
      <w:r>
        <w:rPr>
          <w:rFonts w:cs="Times New Roman"/>
          <w:sz w:val="24"/>
          <w:szCs w:val="24"/>
        </w:rPr>
        <w:t xml:space="preserve">  In enacting fee-shifting bylaws, corporations are responding to a sharp rise in litigation.</w:t>
      </w:r>
      <w:r w:rsidR="00647547">
        <w:rPr>
          <w:rStyle w:val="FootnoteReference"/>
          <w:rFonts w:cs="Times New Roman"/>
          <w:sz w:val="24"/>
          <w:szCs w:val="24"/>
        </w:rPr>
        <w:footnoteReference w:id="101"/>
      </w:r>
      <w:r>
        <w:rPr>
          <w:rFonts w:cs="Times New Roman"/>
          <w:sz w:val="24"/>
          <w:szCs w:val="24"/>
        </w:rPr>
        <w:t xml:space="preserve">  Just as the boards of Chevron and FedEx </w:t>
      </w:r>
      <w:r w:rsidR="003B4DB2">
        <w:rPr>
          <w:rFonts w:cs="Times New Roman"/>
          <w:sz w:val="24"/>
          <w:szCs w:val="24"/>
        </w:rPr>
        <w:t>were allowed</w:t>
      </w:r>
      <w:r>
        <w:rPr>
          <w:rFonts w:cs="Times New Roman"/>
          <w:sz w:val="24"/>
          <w:szCs w:val="24"/>
        </w:rPr>
        <w:t xml:space="preserve"> to address multijurisdictional litigation </w:t>
      </w:r>
      <w:r w:rsidR="009C1C50">
        <w:rPr>
          <w:rFonts w:cs="Times New Roman"/>
          <w:sz w:val="24"/>
          <w:szCs w:val="24"/>
        </w:rPr>
        <w:t>by enacting</w:t>
      </w:r>
      <w:r w:rsidR="00A60ED9">
        <w:rPr>
          <w:rFonts w:cs="Times New Roman"/>
          <w:sz w:val="24"/>
          <w:szCs w:val="24"/>
        </w:rPr>
        <w:t xml:space="preserve"> forum selection bylaws</w:t>
      </w:r>
      <w:r>
        <w:rPr>
          <w:rFonts w:cs="Times New Roman"/>
          <w:sz w:val="24"/>
          <w:szCs w:val="24"/>
        </w:rPr>
        <w:t xml:space="preserve"> to </w:t>
      </w:r>
      <w:r w:rsidR="00044556">
        <w:rPr>
          <w:rFonts w:cs="Times New Roman"/>
          <w:sz w:val="24"/>
          <w:szCs w:val="24"/>
        </w:rPr>
        <w:t>"</w:t>
      </w:r>
      <w:r>
        <w:rPr>
          <w:rFonts w:cs="Times New Roman"/>
          <w:sz w:val="24"/>
          <w:szCs w:val="24"/>
        </w:rPr>
        <w:t>protect against what they claim is a threat to their corporations and stockholders,</w:t>
      </w:r>
      <w:r w:rsidR="00044556">
        <w:rPr>
          <w:rFonts w:cs="Times New Roman"/>
          <w:sz w:val="24"/>
          <w:szCs w:val="24"/>
        </w:rPr>
        <w:t>"</w:t>
      </w:r>
      <w:r>
        <w:rPr>
          <w:rStyle w:val="FootnoteReference"/>
          <w:rFonts w:cs="Times New Roman"/>
          <w:sz w:val="24"/>
          <w:szCs w:val="24"/>
        </w:rPr>
        <w:footnoteReference w:id="102"/>
      </w:r>
      <w:r>
        <w:rPr>
          <w:rFonts w:cs="Times New Roman"/>
          <w:sz w:val="24"/>
          <w:szCs w:val="24"/>
        </w:rPr>
        <w:t xml:space="preserve"> so should corporations be able to </w:t>
      </w:r>
      <w:r w:rsidR="002B0409">
        <w:rPr>
          <w:rFonts w:cs="Times New Roman"/>
          <w:sz w:val="24"/>
          <w:szCs w:val="24"/>
        </w:rPr>
        <w:t>deter</w:t>
      </w:r>
      <w:r>
        <w:rPr>
          <w:rFonts w:cs="Times New Roman"/>
          <w:sz w:val="24"/>
          <w:szCs w:val="24"/>
        </w:rPr>
        <w:t xml:space="preserve"> frivolous litigation via </w:t>
      </w:r>
      <w:r w:rsidR="003321C3">
        <w:rPr>
          <w:rFonts w:cs="Times New Roman"/>
          <w:sz w:val="24"/>
          <w:szCs w:val="24"/>
        </w:rPr>
        <w:t xml:space="preserve">reasonable </w:t>
      </w:r>
      <w:r>
        <w:rPr>
          <w:rFonts w:cs="Times New Roman"/>
          <w:sz w:val="24"/>
          <w:szCs w:val="24"/>
        </w:rPr>
        <w:t>fee-shifting bylaws.</w:t>
      </w:r>
      <w:r w:rsidR="009B0429">
        <w:rPr>
          <w:rStyle w:val="FootnoteReference"/>
          <w:rFonts w:cs="Times New Roman"/>
          <w:sz w:val="24"/>
          <w:szCs w:val="24"/>
        </w:rPr>
        <w:footnoteReference w:id="103"/>
      </w:r>
    </w:p>
    <w:p w14:paraId="6BD830C7" w14:textId="61EE1C3E" w:rsidR="00980983" w:rsidRDefault="00D057B8" w:rsidP="00316553">
      <w:pPr>
        <w:widowControl w:val="0"/>
        <w:spacing w:line="480" w:lineRule="auto"/>
        <w:ind w:firstLine="720"/>
        <w:jc w:val="both"/>
        <w:rPr>
          <w:rFonts w:cs="Times New Roman"/>
          <w:sz w:val="24"/>
          <w:szCs w:val="24"/>
        </w:rPr>
      </w:pPr>
      <w:r>
        <w:rPr>
          <w:rFonts w:cs="Times New Roman"/>
          <w:sz w:val="24"/>
          <w:szCs w:val="24"/>
        </w:rPr>
        <w:t>Forum-selection bylaws, however, are</w:t>
      </w:r>
      <w:r w:rsidR="00980983">
        <w:rPr>
          <w:rFonts w:cs="Times New Roman"/>
          <w:sz w:val="24"/>
          <w:szCs w:val="24"/>
        </w:rPr>
        <w:t xml:space="preserve"> </w:t>
      </w:r>
      <w:r w:rsidR="00AD6ED8">
        <w:rPr>
          <w:rFonts w:cs="Times New Roman"/>
          <w:sz w:val="24"/>
          <w:szCs w:val="24"/>
        </w:rPr>
        <w:t xml:space="preserve">arguably </w:t>
      </w:r>
      <w:r w:rsidR="006B382A">
        <w:rPr>
          <w:rFonts w:cs="Times New Roman"/>
          <w:sz w:val="24"/>
          <w:szCs w:val="24"/>
        </w:rPr>
        <w:t xml:space="preserve">of </w:t>
      </w:r>
      <w:r w:rsidR="00980983">
        <w:rPr>
          <w:rFonts w:cs="Times New Roman"/>
          <w:sz w:val="24"/>
          <w:szCs w:val="24"/>
        </w:rPr>
        <w:t>a different nature than fee-shifting bylaws.</w:t>
      </w:r>
      <w:r w:rsidR="00D474FD">
        <w:rPr>
          <w:rFonts w:cs="Times New Roman"/>
          <w:sz w:val="24"/>
          <w:szCs w:val="24"/>
        </w:rPr>
        <w:t xml:space="preserve"> </w:t>
      </w:r>
      <w:r w:rsidR="008F30DF">
        <w:rPr>
          <w:rFonts w:cs="Times New Roman"/>
          <w:sz w:val="24"/>
          <w:szCs w:val="24"/>
        </w:rPr>
        <w:t xml:space="preserve"> </w:t>
      </w:r>
      <w:r w:rsidR="007646CC">
        <w:rPr>
          <w:rFonts w:cs="Times New Roman"/>
          <w:sz w:val="24"/>
          <w:szCs w:val="24"/>
        </w:rPr>
        <w:t xml:space="preserve">Instead of trying to deter litigation generally, a board </w:t>
      </w:r>
      <w:r w:rsidR="00A22917">
        <w:rPr>
          <w:rFonts w:cs="Times New Roman"/>
          <w:sz w:val="24"/>
          <w:szCs w:val="24"/>
        </w:rPr>
        <w:t>adopting</w:t>
      </w:r>
      <w:r w:rsidR="007646CC">
        <w:rPr>
          <w:rFonts w:cs="Times New Roman"/>
          <w:sz w:val="24"/>
          <w:szCs w:val="24"/>
        </w:rPr>
        <w:t xml:space="preserve"> a forum-selection provision merely seeks to limit </w:t>
      </w:r>
      <w:r w:rsidR="00015D79">
        <w:rPr>
          <w:rFonts w:cs="Times New Roman"/>
          <w:sz w:val="24"/>
          <w:szCs w:val="24"/>
        </w:rPr>
        <w:t>claims related to a transaction</w:t>
      </w:r>
      <w:r w:rsidR="007646CC">
        <w:rPr>
          <w:rFonts w:cs="Times New Roman"/>
          <w:sz w:val="24"/>
          <w:szCs w:val="24"/>
        </w:rPr>
        <w:t xml:space="preserve"> to one jurisdiction.</w:t>
      </w:r>
      <w:r w:rsidR="00BC7C5A">
        <w:rPr>
          <w:rStyle w:val="FootnoteReference"/>
          <w:rFonts w:cs="Times New Roman"/>
          <w:sz w:val="24"/>
          <w:szCs w:val="24"/>
        </w:rPr>
        <w:footnoteReference w:id="104"/>
      </w:r>
      <w:r w:rsidR="007646CC">
        <w:rPr>
          <w:rFonts w:cs="Times New Roman"/>
          <w:sz w:val="24"/>
          <w:szCs w:val="24"/>
        </w:rPr>
        <w:t xml:space="preserve">  Doing so avoids duplicative filings in multiple forums that create unnecessary expenses for the corporation and, therefore, the shareholders.</w:t>
      </w:r>
      <w:r w:rsidR="003125E9">
        <w:rPr>
          <w:rStyle w:val="FootnoteReference"/>
          <w:rFonts w:cs="Times New Roman"/>
          <w:sz w:val="24"/>
          <w:szCs w:val="24"/>
        </w:rPr>
        <w:footnoteReference w:id="105"/>
      </w:r>
      <w:r w:rsidR="003C6296">
        <w:rPr>
          <w:rFonts w:cs="Times New Roman"/>
          <w:sz w:val="24"/>
          <w:szCs w:val="24"/>
        </w:rPr>
        <w:t xml:space="preserve">  </w:t>
      </w:r>
      <w:r w:rsidR="00DE1AC2">
        <w:rPr>
          <w:rFonts w:cs="Times New Roman"/>
          <w:sz w:val="24"/>
          <w:szCs w:val="24"/>
        </w:rPr>
        <w:t xml:space="preserve">Forum selection provisions, therefore, have a more clear benefit to shareholders than fee-shifting provisions.  </w:t>
      </w:r>
      <w:r w:rsidR="00CD1B12">
        <w:rPr>
          <w:rFonts w:cs="Times New Roman"/>
          <w:sz w:val="24"/>
          <w:szCs w:val="24"/>
        </w:rPr>
        <w:t xml:space="preserve">In addition, fee-shifting bylaws are more </w:t>
      </w:r>
      <w:r w:rsidR="006B382A">
        <w:rPr>
          <w:rFonts w:cs="Times New Roman"/>
          <w:sz w:val="24"/>
          <w:szCs w:val="24"/>
        </w:rPr>
        <w:t>likely to deter</w:t>
      </w:r>
      <w:r w:rsidR="00117E39">
        <w:rPr>
          <w:rFonts w:cs="Times New Roman"/>
          <w:sz w:val="24"/>
          <w:szCs w:val="24"/>
        </w:rPr>
        <w:t xml:space="preserve"> potential </w:t>
      </w:r>
      <w:r w:rsidR="00C840B4">
        <w:rPr>
          <w:rFonts w:cs="Times New Roman"/>
          <w:sz w:val="24"/>
          <w:szCs w:val="24"/>
        </w:rPr>
        <w:t xml:space="preserve">plaintiffs </w:t>
      </w:r>
      <w:r w:rsidR="00117E39">
        <w:rPr>
          <w:rFonts w:cs="Times New Roman"/>
          <w:sz w:val="24"/>
          <w:szCs w:val="24"/>
        </w:rPr>
        <w:t>than forum-selection bylaws.</w:t>
      </w:r>
      <w:r w:rsidR="00117E39">
        <w:rPr>
          <w:rStyle w:val="FootnoteReference"/>
          <w:rFonts w:cs="Times New Roman"/>
          <w:sz w:val="24"/>
          <w:szCs w:val="24"/>
        </w:rPr>
        <w:footnoteReference w:id="106"/>
      </w:r>
      <w:r w:rsidR="00706F55">
        <w:rPr>
          <w:rFonts w:cs="Times New Roman"/>
          <w:sz w:val="24"/>
          <w:szCs w:val="24"/>
        </w:rPr>
        <w:t xml:space="preserve">  For these reasons, </w:t>
      </w:r>
      <w:r w:rsidR="00406031">
        <w:rPr>
          <w:rFonts w:cs="Times New Roman"/>
          <w:sz w:val="24"/>
          <w:szCs w:val="24"/>
        </w:rPr>
        <w:t>there is a</w:t>
      </w:r>
      <w:r w:rsidR="00B74239">
        <w:rPr>
          <w:rFonts w:cs="Times New Roman"/>
          <w:sz w:val="24"/>
          <w:szCs w:val="24"/>
        </w:rPr>
        <w:t xml:space="preserve"> need for </w:t>
      </w:r>
      <w:r w:rsidR="00E5062B">
        <w:rPr>
          <w:rFonts w:cs="Times New Roman"/>
          <w:sz w:val="24"/>
          <w:szCs w:val="24"/>
        </w:rPr>
        <w:t>mecha</w:t>
      </w:r>
      <w:r w:rsidR="006772CC">
        <w:rPr>
          <w:rFonts w:cs="Times New Roman"/>
          <w:sz w:val="24"/>
          <w:szCs w:val="24"/>
        </w:rPr>
        <w:t xml:space="preserve">nisms </w:t>
      </w:r>
      <w:r w:rsidR="00C660FF">
        <w:rPr>
          <w:rFonts w:cs="Times New Roman"/>
          <w:sz w:val="24"/>
          <w:szCs w:val="24"/>
        </w:rPr>
        <w:t>to limit</w:t>
      </w:r>
      <w:r w:rsidR="006772CC">
        <w:rPr>
          <w:rFonts w:cs="Times New Roman"/>
          <w:sz w:val="24"/>
          <w:szCs w:val="24"/>
        </w:rPr>
        <w:t xml:space="preserve"> their impact, especially </w:t>
      </w:r>
      <w:r w:rsidR="00FB012B">
        <w:rPr>
          <w:rFonts w:cs="Times New Roman"/>
          <w:sz w:val="24"/>
          <w:szCs w:val="24"/>
        </w:rPr>
        <w:t>on</w:t>
      </w:r>
      <w:r w:rsidR="006772CC">
        <w:rPr>
          <w:rFonts w:cs="Times New Roman"/>
          <w:sz w:val="24"/>
          <w:szCs w:val="24"/>
        </w:rPr>
        <w:t xml:space="preserve"> vulnerable groups such as </w:t>
      </w:r>
      <w:r w:rsidR="00250368">
        <w:rPr>
          <w:rFonts w:cs="Times New Roman"/>
          <w:sz w:val="24"/>
          <w:szCs w:val="24"/>
        </w:rPr>
        <w:t xml:space="preserve">minority shareholders in </w:t>
      </w:r>
      <w:r w:rsidR="00B07FA4">
        <w:rPr>
          <w:rFonts w:cs="Times New Roman"/>
          <w:sz w:val="24"/>
          <w:szCs w:val="24"/>
        </w:rPr>
        <w:t>privately held</w:t>
      </w:r>
      <w:r w:rsidR="00250368">
        <w:rPr>
          <w:rFonts w:cs="Times New Roman"/>
          <w:sz w:val="24"/>
          <w:szCs w:val="24"/>
        </w:rPr>
        <w:t xml:space="preserve"> corporations.</w:t>
      </w:r>
    </w:p>
    <w:p w14:paraId="273016CC" w14:textId="2FB88C3B" w:rsidR="00085408" w:rsidRPr="009014AE" w:rsidRDefault="00CC0B52" w:rsidP="00493CC4">
      <w:pPr>
        <w:pStyle w:val="Heading1"/>
      </w:pPr>
      <w:r w:rsidRPr="009014AE">
        <w:t>TOWARD A COMPROMISE POSITION</w:t>
      </w:r>
    </w:p>
    <w:p w14:paraId="734A4370" w14:textId="0B8A92F6" w:rsidR="007F6C27" w:rsidRDefault="006F29B6" w:rsidP="00316553">
      <w:pPr>
        <w:widowControl w:val="0"/>
        <w:spacing w:line="480" w:lineRule="auto"/>
        <w:ind w:firstLine="720"/>
        <w:jc w:val="both"/>
        <w:rPr>
          <w:rFonts w:cs="Times New Roman"/>
          <w:sz w:val="24"/>
          <w:szCs w:val="24"/>
        </w:rPr>
      </w:pPr>
      <w:r>
        <w:rPr>
          <w:rFonts w:cs="Times New Roman"/>
          <w:sz w:val="24"/>
          <w:szCs w:val="24"/>
        </w:rPr>
        <w:t xml:space="preserve">As discussed above, </w:t>
      </w:r>
      <w:r w:rsidR="00CE1AA0">
        <w:rPr>
          <w:rFonts w:cs="Times New Roman"/>
          <w:sz w:val="24"/>
          <w:szCs w:val="24"/>
        </w:rPr>
        <w:t xml:space="preserve">there are legitimate concerns on both sides of the debate over fee-shifting bylaws.  </w:t>
      </w:r>
      <w:r w:rsidR="00032B95">
        <w:rPr>
          <w:rFonts w:cs="Times New Roman"/>
          <w:sz w:val="24"/>
          <w:szCs w:val="24"/>
        </w:rPr>
        <w:t xml:space="preserve">While those concerned about the negative consequences of fee shifting </w:t>
      </w:r>
      <w:r w:rsidR="00184AD0">
        <w:rPr>
          <w:rFonts w:cs="Times New Roman"/>
          <w:sz w:val="24"/>
          <w:szCs w:val="24"/>
        </w:rPr>
        <w:t>have pushed for an outright prohibition on their use as to profit corporations,</w:t>
      </w:r>
      <w:r w:rsidR="005A418B">
        <w:rPr>
          <w:rStyle w:val="FootnoteReference"/>
          <w:rFonts w:cs="Times New Roman"/>
          <w:sz w:val="24"/>
          <w:szCs w:val="24"/>
        </w:rPr>
        <w:footnoteReference w:id="107"/>
      </w:r>
      <w:r w:rsidR="00184AD0">
        <w:rPr>
          <w:rFonts w:cs="Times New Roman"/>
          <w:sz w:val="24"/>
          <w:szCs w:val="24"/>
        </w:rPr>
        <w:t xml:space="preserve"> </w:t>
      </w:r>
      <w:r w:rsidR="00F103FC">
        <w:rPr>
          <w:rFonts w:cs="Times New Roman"/>
          <w:sz w:val="24"/>
          <w:szCs w:val="24"/>
        </w:rPr>
        <w:t xml:space="preserve">corporate boards have </w:t>
      </w:r>
      <w:r w:rsidR="00C05A5C">
        <w:rPr>
          <w:rFonts w:cs="Times New Roman"/>
          <w:sz w:val="24"/>
          <w:szCs w:val="24"/>
        </w:rPr>
        <w:t xml:space="preserve">maintained that </w:t>
      </w:r>
      <w:r w:rsidR="005A418B">
        <w:rPr>
          <w:rFonts w:cs="Times New Roman"/>
          <w:sz w:val="24"/>
          <w:szCs w:val="24"/>
        </w:rPr>
        <w:t>the bylaws are a necessary response to excessive merger-related litigation.</w:t>
      </w:r>
      <w:r w:rsidR="0086679B">
        <w:rPr>
          <w:rStyle w:val="FootnoteReference"/>
          <w:rFonts w:cs="Times New Roman"/>
          <w:sz w:val="24"/>
          <w:szCs w:val="24"/>
        </w:rPr>
        <w:footnoteReference w:id="108"/>
      </w:r>
      <w:r w:rsidR="00C21D4C">
        <w:rPr>
          <w:rFonts w:cs="Times New Roman"/>
          <w:sz w:val="24"/>
          <w:szCs w:val="24"/>
        </w:rPr>
        <w:t xml:space="preserve">  This Part will explore whether action in response to </w:t>
      </w:r>
      <w:r w:rsidR="00C21D4C">
        <w:rPr>
          <w:rFonts w:cs="Times New Roman"/>
          <w:i/>
          <w:sz w:val="24"/>
          <w:szCs w:val="24"/>
        </w:rPr>
        <w:t>ATP Tour</w:t>
      </w:r>
      <w:r w:rsidR="00C21D4C">
        <w:rPr>
          <w:rFonts w:cs="Times New Roman"/>
          <w:sz w:val="24"/>
          <w:szCs w:val="24"/>
        </w:rPr>
        <w:t xml:space="preserve"> is in fact necessary, including a discussion of </w:t>
      </w:r>
      <w:r w:rsidR="00B76CE4">
        <w:rPr>
          <w:rFonts w:cs="Times New Roman"/>
          <w:sz w:val="24"/>
          <w:szCs w:val="24"/>
        </w:rPr>
        <w:t xml:space="preserve">what </w:t>
      </w:r>
      <w:r w:rsidR="002A6A9A">
        <w:rPr>
          <w:rFonts w:cs="Times New Roman"/>
          <w:sz w:val="24"/>
          <w:szCs w:val="24"/>
        </w:rPr>
        <w:t>might</w:t>
      </w:r>
      <w:r w:rsidR="00B76CE4">
        <w:rPr>
          <w:rFonts w:cs="Times New Roman"/>
          <w:sz w:val="24"/>
          <w:szCs w:val="24"/>
        </w:rPr>
        <w:t xml:space="preserve"> result if </w:t>
      </w:r>
      <w:r w:rsidR="00AB5C1E">
        <w:rPr>
          <w:rFonts w:cs="Times New Roman"/>
          <w:sz w:val="24"/>
          <w:szCs w:val="24"/>
        </w:rPr>
        <w:t xml:space="preserve">the enforceability of fee-shifting bylaws </w:t>
      </w:r>
      <w:r w:rsidR="00332706">
        <w:rPr>
          <w:rFonts w:cs="Times New Roman"/>
          <w:sz w:val="24"/>
          <w:szCs w:val="24"/>
        </w:rPr>
        <w:t>is</w:t>
      </w:r>
      <w:r w:rsidR="00AB5C1E">
        <w:rPr>
          <w:rFonts w:cs="Times New Roman"/>
          <w:sz w:val="24"/>
          <w:szCs w:val="24"/>
        </w:rPr>
        <w:t xml:space="preserve"> left to the courts. Finally, this Part offers several suggestions for compromise </w:t>
      </w:r>
      <w:r w:rsidR="00D1289D">
        <w:rPr>
          <w:rFonts w:cs="Times New Roman"/>
          <w:sz w:val="24"/>
          <w:szCs w:val="24"/>
        </w:rPr>
        <w:t>solutions.</w:t>
      </w:r>
    </w:p>
    <w:p w14:paraId="635DD688" w14:textId="64F3BCE8" w:rsidR="004828F6" w:rsidRPr="00F44049" w:rsidRDefault="00D704C9" w:rsidP="00021DB6">
      <w:pPr>
        <w:pStyle w:val="Heading2"/>
        <w:numPr>
          <w:ilvl w:val="0"/>
          <w:numId w:val="8"/>
        </w:numPr>
      </w:pPr>
      <w:r>
        <w:t>Legislative Response May Not be Needed</w:t>
      </w:r>
    </w:p>
    <w:p w14:paraId="6097E6C0" w14:textId="0319693E" w:rsidR="00F44049" w:rsidRDefault="00496865" w:rsidP="00316553">
      <w:pPr>
        <w:widowControl w:val="0"/>
        <w:spacing w:line="480" w:lineRule="auto"/>
        <w:ind w:firstLine="720"/>
        <w:jc w:val="both"/>
        <w:rPr>
          <w:rFonts w:cs="Times New Roman"/>
          <w:sz w:val="24"/>
          <w:szCs w:val="24"/>
        </w:rPr>
      </w:pPr>
      <w:r>
        <w:rPr>
          <w:rFonts w:cs="Times New Roman"/>
          <w:sz w:val="24"/>
          <w:szCs w:val="24"/>
        </w:rPr>
        <w:t xml:space="preserve">First, the most logical </w:t>
      </w:r>
      <w:r w:rsidR="00917A81">
        <w:rPr>
          <w:rFonts w:cs="Times New Roman"/>
          <w:sz w:val="24"/>
          <w:szCs w:val="24"/>
        </w:rPr>
        <w:t>response</w:t>
      </w:r>
      <w:r>
        <w:rPr>
          <w:rFonts w:cs="Times New Roman"/>
          <w:sz w:val="24"/>
          <w:szCs w:val="24"/>
        </w:rPr>
        <w:t xml:space="preserve"> may be to do nothing.</w:t>
      </w:r>
      <w:r w:rsidR="00AA4690">
        <w:rPr>
          <w:rFonts w:cs="Times New Roman"/>
          <w:sz w:val="24"/>
          <w:szCs w:val="24"/>
        </w:rPr>
        <w:t xml:space="preserve">  </w:t>
      </w:r>
      <w:r w:rsidR="00D21864">
        <w:rPr>
          <w:rFonts w:cs="Times New Roman"/>
          <w:sz w:val="24"/>
          <w:szCs w:val="24"/>
        </w:rPr>
        <w:t xml:space="preserve">As discussed below, </w:t>
      </w:r>
      <w:r w:rsidR="00DA4F0B">
        <w:rPr>
          <w:rFonts w:cs="Times New Roman"/>
          <w:sz w:val="24"/>
          <w:szCs w:val="24"/>
        </w:rPr>
        <w:t>the</w:t>
      </w:r>
      <w:r w:rsidR="00777D39">
        <w:rPr>
          <w:rFonts w:cs="Times New Roman"/>
          <w:sz w:val="24"/>
          <w:szCs w:val="24"/>
        </w:rPr>
        <w:t xml:space="preserve"> </w:t>
      </w:r>
      <w:r w:rsidR="00A26C76">
        <w:rPr>
          <w:rFonts w:cs="Times New Roman"/>
          <w:sz w:val="24"/>
          <w:szCs w:val="24"/>
        </w:rPr>
        <w:t xml:space="preserve">natural </w:t>
      </w:r>
      <w:r w:rsidR="005E2E1B">
        <w:rPr>
          <w:rFonts w:cs="Times New Roman"/>
          <w:sz w:val="24"/>
          <w:szCs w:val="24"/>
        </w:rPr>
        <w:t xml:space="preserve">negative </w:t>
      </w:r>
      <w:r w:rsidR="00A26C76">
        <w:rPr>
          <w:rFonts w:cs="Times New Roman"/>
          <w:sz w:val="24"/>
          <w:szCs w:val="24"/>
        </w:rPr>
        <w:t xml:space="preserve">consequences </w:t>
      </w:r>
      <w:r w:rsidR="00CB0CF8">
        <w:rPr>
          <w:rFonts w:cs="Times New Roman"/>
          <w:sz w:val="24"/>
          <w:szCs w:val="24"/>
        </w:rPr>
        <w:t>of</w:t>
      </w:r>
      <w:r w:rsidR="009959A3">
        <w:rPr>
          <w:rFonts w:cs="Times New Roman"/>
          <w:sz w:val="24"/>
          <w:szCs w:val="24"/>
        </w:rPr>
        <w:t xml:space="preserve"> adopting fee-shifting bylaws </w:t>
      </w:r>
      <w:r w:rsidR="00DA4F0B">
        <w:rPr>
          <w:rFonts w:cs="Times New Roman"/>
          <w:sz w:val="24"/>
          <w:szCs w:val="24"/>
        </w:rPr>
        <w:t>may prevent boards from adopting them</w:t>
      </w:r>
      <w:r w:rsidR="00203BD7">
        <w:rPr>
          <w:rFonts w:cs="Times New Roman"/>
          <w:sz w:val="24"/>
          <w:szCs w:val="24"/>
        </w:rPr>
        <w:t>.</w:t>
      </w:r>
      <w:r w:rsidR="00D11A4A">
        <w:rPr>
          <w:rStyle w:val="FootnoteReference"/>
          <w:rFonts w:cs="Times New Roman"/>
          <w:sz w:val="24"/>
          <w:szCs w:val="24"/>
        </w:rPr>
        <w:footnoteReference w:id="109"/>
      </w:r>
      <w:r w:rsidR="001B149D">
        <w:rPr>
          <w:rFonts w:cs="Times New Roman"/>
          <w:sz w:val="24"/>
          <w:szCs w:val="24"/>
        </w:rPr>
        <w:t xml:space="preserve">  </w:t>
      </w:r>
      <w:r w:rsidR="00065422">
        <w:rPr>
          <w:rFonts w:cs="Times New Roman"/>
          <w:sz w:val="24"/>
          <w:szCs w:val="24"/>
        </w:rPr>
        <w:t>If</w:t>
      </w:r>
      <w:r w:rsidR="001B149D">
        <w:rPr>
          <w:rFonts w:cs="Times New Roman"/>
          <w:sz w:val="24"/>
          <w:szCs w:val="24"/>
        </w:rPr>
        <w:t xml:space="preserve"> they do, </w:t>
      </w:r>
      <w:r w:rsidR="00BF2851">
        <w:rPr>
          <w:rFonts w:cs="Times New Roman"/>
          <w:sz w:val="24"/>
          <w:szCs w:val="24"/>
        </w:rPr>
        <w:t xml:space="preserve">then </w:t>
      </w:r>
      <w:r w:rsidR="001B149D">
        <w:rPr>
          <w:rFonts w:cs="Times New Roman"/>
          <w:sz w:val="24"/>
          <w:szCs w:val="24"/>
        </w:rPr>
        <w:t xml:space="preserve">shareholders </w:t>
      </w:r>
      <w:r w:rsidR="00D54843">
        <w:rPr>
          <w:rFonts w:cs="Times New Roman"/>
          <w:sz w:val="24"/>
          <w:szCs w:val="24"/>
        </w:rPr>
        <w:t xml:space="preserve">who are unhappy with the board's decision </w:t>
      </w:r>
      <w:r w:rsidR="00ED3CDF">
        <w:rPr>
          <w:rFonts w:cs="Times New Roman"/>
          <w:sz w:val="24"/>
          <w:szCs w:val="24"/>
        </w:rPr>
        <w:t xml:space="preserve">will likely find </w:t>
      </w:r>
      <w:r w:rsidR="00492DDE">
        <w:rPr>
          <w:rFonts w:cs="Times New Roman"/>
          <w:sz w:val="24"/>
          <w:szCs w:val="24"/>
        </w:rPr>
        <w:t>sufficient recourse</w:t>
      </w:r>
      <w:r w:rsidR="006651B9">
        <w:rPr>
          <w:rFonts w:cs="Times New Roman"/>
          <w:sz w:val="24"/>
          <w:szCs w:val="24"/>
        </w:rPr>
        <w:t xml:space="preserve"> by </w:t>
      </w:r>
      <w:r w:rsidR="00C672D4">
        <w:rPr>
          <w:rFonts w:cs="Times New Roman"/>
          <w:sz w:val="24"/>
          <w:szCs w:val="24"/>
        </w:rPr>
        <w:t>exercising their corporate democratic rights.</w:t>
      </w:r>
      <w:r w:rsidR="00D11A4A">
        <w:rPr>
          <w:rStyle w:val="FootnoteReference"/>
          <w:rFonts w:cs="Times New Roman"/>
          <w:sz w:val="24"/>
          <w:szCs w:val="24"/>
        </w:rPr>
        <w:footnoteReference w:id="110"/>
      </w:r>
    </w:p>
    <w:p w14:paraId="2FD8692A" w14:textId="1432BCD4" w:rsidR="00E7277B" w:rsidRDefault="00BF2851" w:rsidP="00316553">
      <w:pPr>
        <w:widowControl w:val="0"/>
        <w:spacing w:line="480" w:lineRule="auto"/>
        <w:ind w:firstLine="720"/>
        <w:jc w:val="both"/>
        <w:rPr>
          <w:rFonts w:cs="Times New Roman"/>
          <w:sz w:val="24"/>
          <w:szCs w:val="24"/>
        </w:rPr>
      </w:pPr>
      <w:r>
        <w:rPr>
          <w:rFonts w:cs="Times New Roman"/>
          <w:sz w:val="24"/>
          <w:szCs w:val="24"/>
        </w:rPr>
        <w:t>F</w:t>
      </w:r>
      <w:r w:rsidR="00390115">
        <w:rPr>
          <w:rFonts w:cs="Times New Roman"/>
          <w:sz w:val="24"/>
          <w:szCs w:val="24"/>
        </w:rPr>
        <w:t>ee-shifting bylaws</w:t>
      </w:r>
      <w:r w:rsidR="00E7277B">
        <w:rPr>
          <w:rFonts w:cs="Times New Roman"/>
          <w:sz w:val="24"/>
          <w:szCs w:val="24"/>
        </w:rPr>
        <w:t xml:space="preserve"> </w:t>
      </w:r>
      <w:r w:rsidR="008B664C">
        <w:rPr>
          <w:rFonts w:cs="Times New Roman"/>
          <w:sz w:val="24"/>
          <w:szCs w:val="24"/>
        </w:rPr>
        <w:t>can</w:t>
      </w:r>
      <w:r w:rsidR="00E7277B">
        <w:rPr>
          <w:rFonts w:cs="Times New Roman"/>
          <w:sz w:val="24"/>
          <w:szCs w:val="24"/>
        </w:rPr>
        <w:t xml:space="preserve"> backfire</w:t>
      </w:r>
      <w:r w:rsidR="001456C5">
        <w:rPr>
          <w:rFonts w:cs="Times New Roman"/>
          <w:sz w:val="24"/>
          <w:szCs w:val="24"/>
        </w:rPr>
        <w:t xml:space="preserve"> in a way that </w:t>
      </w:r>
      <w:r w:rsidR="008B664C">
        <w:rPr>
          <w:rFonts w:cs="Times New Roman"/>
          <w:sz w:val="24"/>
          <w:szCs w:val="24"/>
        </w:rPr>
        <w:t>may limit</w:t>
      </w:r>
      <w:r w:rsidR="001456C5">
        <w:rPr>
          <w:rFonts w:cs="Times New Roman"/>
          <w:sz w:val="24"/>
          <w:szCs w:val="24"/>
        </w:rPr>
        <w:t xml:space="preserve"> </w:t>
      </w:r>
      <w:r w:rsidR="00960FEB">
        <w:rPr>
          <w:rFonts w:cs="Times New Roman"/>
          <w:sz w:val="24"/>
          <w:szCs w:val="24"/>
        </w:rPr>
        <w:t xml:space="preserve">a board's </w:t>
      </w:r>
      <w:r w:rsidR="001456C5">
        <w:rPr>
          <w:rFonts w:cs="Times New Roman"/>
          <w:sz w:val="24"/>
          <w:szCs w:val="24"/>
        </w:rPr>
        <w:t>interest in adopting them</w:t>
      </w:r>
      <w:r w:rsidR="00E7277B">
        <w:rPr>
          <w:rFonts w:cs="Times New Roman"/>
          <w:sz w:val="24"/>
          <w:szCs w:val="24"/>
        </w:rPr>
        <w:t xml:space="preserve">.  First, </w:t>
      </w:r>
      <w:r w:rsidR="00C40AAA">
        <w:rPr>
          <w:rFonts w:cs="Times New Roman"/>
          <w:sz w:val="24"/>
          <w:szCs w:val="24"/>
        </w:rPr>
        <w:t xml:space="preserve">because </w:t>
      </w:r>
      <w:r w:rsidR="00F42D6C">
        <w:rPr>
          <w:rFonts w:cs="Times New Roman"/>
          <w:sz w:val="24"/>
          <w:szCs w:val="24"/>
        </w:rPr>
        <w:t>the bylaws</w:t>
      </w:r>
      <w:r w:rsidR="00BD62DA">
        <w:rPr>
          <w:rFonts w:cs="Times New Roman"/>
          <w:sz w:val="24"/>
          <w:szCs w:val="24"/>
        </w:rPr>
        <w:t xml:space="preserve"> require </w:t>
      </w:r>
      <w:r w:rsidR="007D4519">
        <w:rPr>
          <w:rFonts w:cs="Times New Roman"/>
          <w:sz w:val="24"/>
          <w:szCs w:val="24"/>
        </w:rPr>
        <w:t>plaintiff</w:t>
      </w:r>
      <w:r w:rsidR="00BD62DA">
        <w:rPr>
          <w:rFonts w:cs="Times New Roman"/>
          <w:sz w:val="24"/>
          <w:szCs w:val="24"/>
        </w:rPr>
        <w:t>s to</w:t>
      </w:r>
      <w:r w:rsidR="007D4519">
        <w:rPr>
          <w:rFonts w:cs="Times New Roman"/>
          <w:sz w:val="24"/>
          <w:szCs w:val="24"/>
        </w:rPr>
        <w:t xml:space="preserve"> </w:t>
      </w:r>
      <w:r w:rsidR="00C40AAA">
        <w:rPr>
          <w:rFonts w:cs="Times New Roman"/>
          <w:sz w:val="24"/>
          <w:szCs w:val="24"/>
        </w:rPr>
        <w:t xml:space="preserve">achieve </w:t>
      </w:r>
      <w:r w:rsidR="007D4519">
        <w:rPr>
          <w:rFonts w:cs="Times New Roman"/>
          <w:sz w:val="24"/>
          <w:szCs w:val="24"/>
        </w:rPr>
        <w:t>judgment on the merits</w:t>
      </w:r>
      <w:r w:rsidR="00C40AAA">
        <w:rPr>
          <w:rFonts w:cs="Times New Roman"/>
          <w:sz w:val="24"/>
          <w:szCs w:val="24"/>
        </w:rPr>
        <w:t>,</w:t>
      </w:r>
      <w:r w:rsidR="00F45D8C">
        <w:rPr>
          <w:rFonts w:cs="Times New Roman"/>
          <w:sz w:val="24"/>
          <w:szCs w:val="24"/>
        </w:rPr>
        <w:t xml:space="preserve"> stockholders </w:t>
      </w:r>
      <w:r w:rsidR="00F42D6C">
        <w:rPr>
          <w:rFonts w:cs="Times New Roman"/>
          <w:sz w:val="24"/>
          <w:szCs w:val="24"/>
        </w:rPr>
        <w:t xml:space="preserve">who are </w:t>
      </w:r>
      <w:r w:rsidR="00F45D8C">
        <w:rPr>
          <w:rFonts w:cs="Times New Roman"/>
          <w:sz w:val="24"/>
          <w:szCs w:val="24"/>
        </w:rPr>
        <w:t xml:space="preserve">brave enough to </w:t>
      </w:r>
      <w:r w:rsidR="00C40AAA">
        <w:rPr>
          <w:rFonts w:cs="Times New Roman"/>
          <w:sz w:val="24"/>
          <w:szCs w:val="24"/>
        </w:rPr>
        <w:t xml:space="preserve">sue </w:t>
      </w:r>
      <w:r w:rsidR="00505793">
        <w:rPr>
          <w:rFonts w:cs="Times New Roman"/>
          <w:sz w:val="24"/>
          <w:szCs w:val="24"/>
        </w:rPr>
        <w:t xml:space="preserve">will have a strong motivation to </w:t>
      </w:r>
      <w:r w:rsidR="00E912E3">
        <w:rPr>
          <w:rFonts w:cs="Times New Roman"/>
          <w:sz w:val="24"/>
          <w:szCs w:val="24"/>
        </w:rPr>
        <w:t>go to</w:t>
      </w:r>
      <w:r w:rsidR="00004DDA">
        <w:rPr>
          <w:rFonts w:cs="Times New Roman"/>
          <w:sz w:val="24"/>
          <w:szCs w:val="24"/>
        </w:rPr>
        <w:t xml:space="preserve"> trial.  Accordingly, </w:t>
      </w:r>
      <w:r w:rsidR="00B0314F">
        <w:rPr>
          <w:rFonts w:cs="Times New Roman"/>
          <w:sz w:val="24"/>
          <w:szCs w:val="24"/>
        </w:rPr>
        <w:t xml:space="preserve">corporations with fee-shifting bylaws will lose the possibility </w:t>
      </w:r>
      <w:r w:rsidR="00333DE7">
        <w:rPr>
          <w:rFonts w:cs="Times New Roman"/>
          <w:sz w:val="24"/>
          <w:szCs w:val="24"/>
        </w:rPr>
        <w:t>of an early and relatively low-cost settlement</w:t>
      </w:r>
      <w:r w:rsidR="006E4F57">
        <w:rPr>
          <w:rFonts w:cs="Times New Roman"/>
          <w:sz w:val="24"/>
          <w:szCs w:val="24"/>
        </w:rPr>
        <w:t>,</w:t>
      </w:r>
      <w:r w:rsidR="00333DE7">
        <w:rPr>
          <w:rFonts w:cs="Times New Roman"/>
          <w:sz w:val="24"/>
          <w:szCs w:val="24"/>
        </w:rPr>
        <w:t xml:space="preserve"> unless the </w:t>
      </w:r>
      <w:r w:rsidR="004B0BCC">
        <w:rPr>
          <w:rFonts w:cs="Times New Roman"/>
          <w:sz w:val="24"/>
          <w:szCs w:val="24"/>
        </w:rPr>
        <w:t xml:space="preserve">corporation is </w:t>
      </w:r>
      <w:r w:rsidR="00333DE7">
        <w:rPr>
          <w:rFonts w:cs="Times New Roman"/>
          <w:sz w:val="24"/>
          <w:szCs w:val="24"/>
        </w:rPr>
        <w:t xml:space="preserve">willing </w:t>
      </w:r>
      <w:r w:rsidR="004B0BCC">
        <w:rPr>
          <w:rFonts w:cs="Times New Roman"/>
          <w:sz w:val="24"/>
          <w:szCs w:val="24"/>
        </w:rPr>
        <w:t xml:space="preserve">and able </w:t>
      </w:r>
      <w:r w:rsidR="00333DE7">
        <w:rPr>
          <w:rFonts w:cs="Times New Roman"/>
          <w:sz w:val="24"/>
          <w:szCs w:val="24"/>
        </w:rPr>
        <w:t>to waive fee</w:t>
      </w:r>
      <w:r w:rsidR="00C17D00">
        <w:rPr>
          <w:rFonts w:cs="Times New Roman"/>
          <w:sz w:val="24"/>
          <w:szCs w:val="24"/>
        </w:rPr>
        <w:t xml:space="preserve"> </w:t>
      </w:r>
      <w:r w:rsidR="00333DE7">
        <w:rPr>
          <w:rFonts w:cs="Times New Roman"/>
          <w:sz w:val="24"/>
          <w:szCs w:val="24"/>
        </w:rPr>
        <w:t>shifting in the settlement agreement.</w:t>
      </w:r>
      <w:r w:rsidR="006E4F57" w:rsidRPr="006E4F57">
        <w:rPr>
          <w:rStyle w:val="FootnoteReference"/>
          <w:rFonts w:cs="Times New Roman"/>
          <w:sz w:val="24"/>
          <w:szCs w:val="24"/>
        </w:rPr>
        <w:t xml:space="preserve"> </w:t>
      </w:r>
      <w:r w:rsidR="006E4F57">
        <w:rPr>
          <w:rStyle w:val="FootnoteReference"/>
          <w:rFonts w:cs="Times New Roman"/>
          <w:sz w:val="24"/>
          <w:szCs w:val="24"/>
        </w:rPr>
        <w:footnoteReference w:id="111"/>
      </w:r>
      <w:r w:rsidR="00C17D00">
        <w:rPr>
          <w:rFonts w:cs="Times New Roman"/>
          <w:sz w:val="24"/>
          <w:szCs w:val="24"/>
        </w:rPr>
        <w:t xml:space="preserve"> </w:t>
      </w:r>
      <w:r w:rsidR="009D53AF">
        <w:rPr>
          <w:rFonts w:cs="Times New Roman"/>
          <w:sz w:val="24"/>
          <w:szCs w:val="24"/>
        </w:rPr>
        <w:t xml:space="preserve"> </w:t>
      </w:r>
      <w:r w:rsidR="00F90E94">
        <w:rPr>
          <w:rFonts w:cs="Times New Roman"/>
          <w:sz w:val="24"/>
          <w:szCs w:val="24"/>
        </w:rPr>
        <w:t>Second,</w:t>
      </w:r>
      <w:r w:rsidR="00146752">
        <w:rPr>
          <w:rFonts w:cs="Times New Roman"/>
          <w:sz w:val="24"/>
          <w:szCs w:val="24"/>
        </w:rPr>
        <w:t xml:space="preserve"> companies who choose </w:t>
      </w:r>
      <w:r w:rsidR="00C80D96">
        <w:rPr>
          <w:rFonts w:cs="Times New Roman"/>
          <w:sz w:val="24"/>
          <w:szCs w:val="24"/>
        </w:rPr>
        <w:t xml:space="preserve">a fee-shifting provision </w:t>
      </w:r>
      <w:r w:rsidR="00267020">
        <w:rPr>
          <w:rFonts w:cs="Times New Roman"/>
          <w:sz w:val="24"/>
          <w:szCs w:val="24"/>
        </w:rPr>
        <w:t xml:space="preserve">will attract the attention of </w:t>
      </w:r>
      <w:r w:rsidR="00044556">
        <w:rPr>
          <w:rFonts w:cs="Times New Roman"/>
          <w:sz w:val="24"/>
          <w:szCs w:val="24"/>
        </w:rPr>
        <w:t>"</w:t>
      </w:r>
      <w:r w:rsidR="00267020">
        <w:rPr>
          <w:rFonts w:cs="Times New Roman"/>
          <w:sz w:val="24"/>
          <w:szCs w:val="24"/>
        </w:rPr>
        <w:t>[</w:t>
      </w:r>
      <w:r w:rsidR="001C672D">
        <w:rPr>
          <w:rFonts w:cs="Times New Roman"/>
          <w:sz w:val="24"/>
          <w:szCs w:val="24"/>
        </w:rPr>
        <w:t>s]hareholder activists</w:t>
      </w:r>
      <w:r w:rsidR="00116449">
        <w:rPr>
          <w:rFonts w:cs="Times New Roman"/>
          <w:sz w:val="24"/>
          <w:szCs w:val="24"/>
        </w:rPr>
        <w:t>,</w:t>
      </w:r>
      <w:r w:rsidR="00044556">
        <w:rPr>
          <w:rFonts w:cs="Times New Roman"/>
          <w:sz w:val="24"/>
          <w:szCs w:val="24"/>
        </w:rPr>
        <w:t>"</w:t>
      </w:r>
      <w:r w:rsidR="00116449">
        <w:rPr>
          <w:rFonts w:cs="Times New Roman"/>
          <w:sz w:val="24"/>
          <w:szCs w:val="24"/>
        </w:rPr>
        <w:t xml:space="preserve"> </w:t>
      </w:r>
      <w:r w:rsidR="000C4BA4">
        <w:rPr>
          <w:rFonts w:cs="Times New Roman"/>
          <w:sz w:val="24"/>
          <w:szCs w:val="24"/>
        </w:rPr>
        <w:t xml:space="preserve">potentially </w:t>
      </w:r>
      <w:r w:rsidR="00FE030D">
        <w:rPr>
          <w:rFonts w:cs="Times New Roman"/>
          <w:sz w:val="24"/>
          <w:szCs w:val="24"/>
        </w:rPr>
        <w:t>resulting in</w:t>
      </w:r>
      <w:r w:rsidR="00116449">
        <w:rPr>
          <w:rFonts w:cs="Times New Roman"/>
          <w:sz w:val="24"/>
          <w:szCs w:val="24"/>
        </w:rPr>
        <w:t xml:space="preserve"> a </w:t>
      </w:r>
      <w:r w:rsidR="00164D5E">
        <w:rPr>
          <w:rFonts w:cs="Times New Roman"/>
          <w:sz w:val="24"/>
          <w:szCs w:val="24"/>
        </w:rPr>
        <w:t>net gain in lawsuits filed against the corporation.</w:t>
      </w:r>
      <w:r w:rsidR="00060F91" w:rsidRPr="00060F91">
        <w:rPr>
          <w:rStyle w:val="FootnoteReference"/>
          <w:rFonts w:cs="Times New Roman"/>
          <w:sz w:val="24"/>
          <w:szCs w:val="24"/>
        </w:rPr>
        <w:t xml:space="preserve"> </w:t>
      </w:r>
      <w:r w:rsidR="00060F91">
        <w:rPr>
          <w:rStyle w:val="FootnoteReference"/>
          <w:rFonts w:cs="Times New Roman"/>
          <w:sz w:val="24"/>
          <w:szCs w:val="24"/>
        </w:rPr>
        <w:footnoteReference w:id="112"/>
      </w:r>
      <w:r w:rsidR="00AF03EE">
        <w:rPr>
          <w:rFonts w:cs="Times New Roman"/>
          <w:sz w:val="24"/>
          <w:szCs w:val="24"/>
        </w:rPr>
        <w:t xml:space="preserve">  Finally, </w:t>
      </w:r>
      <w:r w:rsidR="00AB1971" w:rsidRPr="00A20936">
        <w:rPr>
          <w:rFonts w:cs="Times New Roman"/>
          <w:sz w:val="24"/>
          <w:szCs w:val="24"/>
        </w:rPr>
        <w:t>courts</w:t>
      </w:r>
      <w:r w:rsidR="00AB1971">
        <w:rPr>
          <w:rFonts w:cs="Times New Roman"/>
          <w:sz w:val="24"/>
          <w:szCs w:val="24"/>
        </w:rPr>
        <w:t xml:space="preserve"> </w:t>
      </w:r>
      <w:r w:rsidR="00B3437B">
        <w:rPr>
          <w:rFonts w:cs="Times New Roman"/>
          <w:sz w:val="24"/>
          <w:szCs w:val="24"/>
        </w:rPr>
        <w:t>could</w:t>
      </w:r>
      <w:r w:rsidR="00AB1971">
        <w:rPr>
          <w:rFonts w:cs="Times New Roman"/>
          <w:sz w:val="24"/>
          <w:szCs w:val="24"/>
        </w:rPr>
        <w:t xml:space="preserve"> hold that fee-shifting bylaw</w:t>
      </w:r>
      <w:r w:rsidR="003D2E2B">
        <w:rPr>
          <w:rFonts w:cs="Times New Roman"/>
          <w:sz w:val="24"/>
          <w:szCs w:val="24"/>
        </w:rPr>
        <w:t>s</w:t>
      </w:r>
      <w:r w:rsidR="00AB1971">
        <w:rPr>
          <w:rFonts w:cs="Times New Roman"/>
          <w:sz w:val="24"/>
          <w:szCs w:val="24"/>
        </w:rPr>
        <w:t xml:space="preserve"> </w:t>
      </w:r>
      <w:r w:rsidR="003D2E2B">
        <w:rPr>
          <w:rFonts w:cs="Times New Roman"/>
          <w:sz w:val="24"/>
          <w:szCs w:val="24"/>
        </w:rPr>
        <w:t>are</w:t>
      </w:r>
      <w:r w:rsidR="00AB1971">
        <w:rPr>
          <w:rFonts w:cs="Times New Roman"/>
          <w:sz w:val="24"/>
          <w:szCs w:val="24"/>
        </w:rPr>
        <w:t xml:space="preserve"> not valid for </w:t>
      </w:r>
      <w:r w:rsidR="00B3437B">
        <w:rPr>
          <w:rFonts w:cs="Times New Roman"/>
          <w:sz w:val="24"/>
          <w:szCs w:val="24"/>
        </w:rPr>
        <w:t>certain federal</w:t>
      </w:r>
      <w:r w:rsidR="00AB1971">
        <w:rPr>
          <w:rFonts w:cs="Times New Roman"/>
          <w:sz w:val="24"/>
          <w:szCs w:val="24"/>
        </w:rPr>
        <w:t xml:space="preserve"> claims, such as federal securities litigation</w:t>
      </w:r>
      <w:r w:rsidR="00427360">
        <w:rPr>
          <w:rStyle w:val="FootnoteReference"/>
          <w:rFonts w:cs="Times New Roman"/>
          <w:sz w:val="24"/>
          <w:szCs w:val="24"/>
        </w:rPr>
        <w:footnoteReference w:id="113"/>
      </w:r>
      <w:r w:rsidR="001A49DB">
        <w:rPr>
          <w:rFonts w:cs="Times New Roman"/>
          <w:sz w:val="24"/>
          <w:szCs w:val="24"/>
        </w:rPr>
        <w:t xml:space="preserve"> or antitrust claims,</w:t>
      </w:r>
      <w:r w:rsidR="001A49DB">
        <w:rPr>
          <w:rStyle w:val="FootnoteReference"/>
          <w:rFonts w:cs="Times New Roman"/>
          <w:sz w:val="24"/>
          <w:szCs w:val="24"/>
        </w:rPr>
        <w:footnoteReference w:id="114"/>
      </w:r>
      <w:r w:rsidR="00AB1971">
        <w:rPr>
          <w:rFonts w:cs="Times New Roman"/>
          <w:sz w:val="24"/>
          <w:szCs w:val="24"/>
        </w:rPr>
        <w:t xml:space="preserve"> </w:t>
      </w:r>
      <w:r w:rsidR="00044556">
        <w:rPr>
          <w:rFonts w:cs="Times New Roman"/>
          <w:sz w:val="24"/>
          <w:szCs w:val="24"/>
        </w:rPr>
        <w:t>"</w:t>
      </w:r>
      <w:r w:rsidR="00AB1971">
        <w:rPr>
          <w:rFonts w:cs="Times New Roman"/>
          <w:sz w:val="24"/>
          <w:szCs w:val="24"/>
        </w:rPr>
        <w:t>particularly given the expense of prosecuting such claims.</w:t>
      </w:r>
      <w:r w:rsidR="00044556">
        <w:rPr>
          <w:rFonts w:cs="Times New Roman"/>
          <w:sz w:val="24"/>
          <w:szCs w:val="24"/>
        </w:rPr>
        <w:t>"</w:t>
      </w:r>
      <w:r w:rsidR="00AB1971">
        <w:rPr>
          <w:rStyle w:val="FootnoteReference"/>
          <w:rFonts w:cs="Times New Roman"/>
          <w:sz w:val="24"/>
          <w:szCs w:val="24"/>
        </w:rPr>
        <w:footnoteReference w:id="115"/>
      </w:r>
      <w:r w:rsidR="00AB1971">
        <w:rPr>
          <w:rFonts w:cs="Times New Roman"/>
          <w:sz w:val="24"/>
          <w:szCs w:val="24"/>
        </w:rPr>
        <w:t xml:space="preserve">  </w:t>
      </w:r>
      <w:r w:rsidR="00593B28">
        <w:rPr>
          <w:rFonts w:cs="Times New Roman"/>
          <w:sz w:val="24"/>
          <w:szCs w:val="24"/>
        </w:rPr>
        <w:t>A shrewd plaint</w:t>
      </w:r>
      <w:r w:rsidR="00502B25">
        <w:rPr>
          <w:rFonts w:cs="Times New Roman"/>
          <w:sz w:val="24"/>
          <w:szCs w:val="24"/>
        </w:rPr>
        <w:t xml:space="preserve">iff's lawyer would therefore </w:t>
      </w:r>
      <w:r w:rsidR="00344D51">
        <w:rPr>
          <w:rFonts w:cs="Times New Roman"/>
          <w:sz w:val="24"/>
          <w:szCs w:val="24"/>
        </w:rPr>
        <w:t>be more likely</w:t>
      </w:r>
      <w:r w:rsidR="005D685C">
        <w:rPr>
          <w:rFonts w:cs="Times New Roman"/>
          <w:sz w:val="24"/>
          <w:szCs w:val="24"/>
        </w:rPr>
        <w:t xml:space="preserve"> to plead any colorable federal claim </w:t>
      </w:r>
      <w:r w:rsidR="00D00A32">
        <w:rPr>
          <w:rFonts w:cs="Times New Roman"/>
          <w:sz w:val="24"/>
          <w:szCs w:val="24"/>
        </w:rPr>
        <w:t xml:space="preserve">against the corporation in addition to the state law claim, leading to more complex (and therefore more expensive) litigation.  </w:t>
      </w:r>
      <w:r w:rsidR="00E7277B">
        <w:rPr>
          <w:rFonts w:cs="Times New Roman"/>
          <w:sz w:val="24"/>
          <w:szCs w:val="24"/>
        </w:rPr>
        <w:t xml:space="preserve">For these reasons, corporations may </w:t>
      </w:r>
      <w:r w:rsidR="00733050">
        <w:rPr>
          <w:rFonts w:cs="Times New Roman"/>
          <w:sz w:val="24"/>
          <w:szCs w:val="24"/>
        </w:rPr>
        <w:t>hesitate</w:t>
      </w:r>
      <w:r w:rsidR="00E7277B">
        <w:rPr>
          <w:rFonts w:cs="Times New Roman"/>
          <w:sz w:val="24"/>
          <w:szCs w:val="24"/>
        </w:rPr>
        <w:t xml:space="preserve"> to adopt fee-shifting bylaws.</w:t>
      </w:r>
      <w:r w:rsidR="00AE433C">
        <w:rPr>
          <w:rStyle w:val="FootnoteReference"/>
          <w:rFonts w:cs="Times New Roman"/>
          <w:sz w:val="24"/>
          <w:szCs w:val="24"/>
        </w:rPr>
        <w:footnoteReference w:id="116"/>
      </w:r>
    </w:p>
    <w:p w14:paraId="25B2B406" w14:textId="1278F4A2" w:rsidR="00C86F49" w:rsidRPr="00B25772" w:rsidRDefault="00881D9D" w:rsidP="00316553">
      <w:pPr>
        <w:widowControl w:val="0"/>
        <w:spacing w:line="480" w:lineRule="auto"/>
        <w:ind w:firstLine="720"/>
        <w:jc w:val="both"/>
        <w:rPr>
          <w:rFonts w:cs="Times New Roman"/>
          <w:sz w:val="24"/>
          <w:szCs w:val="24"/>
        </w:rPr>
      </w:pPr>
      <w:r>
        <w:rPr>
          <w:rFonts w:cs="Times New Roman"/>
          <w:sz w:val="24"/>
          <w:szCs w:val="24"/>
        </w:rPr>
        <w:t>Where</w:t>
      </w:r>
      <w:r w:rsidR="00D33F3E">
        <w:rPr>
          <w:rFonts w:cs="Times New Roman"/>
          <w:sz w:val="24"/>
          <w:szCs w:val="24"/>
        </w:rPr>
        <w:t xml:space="preserve"> </w:t>
      </w:r>
      <w:r w:rsidR="009679E4">
        <w:rPr>
          <w:rFonts w:cs="Times New Roman"/>
          <w:sz w:val="24"/>
          <w:szCs w:val="24"/>
        </w:rPr>
        <w:t xml:space="preserve">boards do choose to adopt fee-shifting bylaws, most </w:t>
      </w:r>
      <w:r>
        <w:rPr>
          <w:rFonts w:cs="Times New Roman"/>
          <w:sz w:val="24"/>
          <w:szCs w:val="24"/>
        </w:rPr>
        <w:t xml:space="preserve">unhappy </w:t>
      </w:r>
      <w:r w:rsidR="009679E4">
        <w:rPr>
          <w:rFonts w:cs="Times New Roman"/>
          <w:sz w:val="24"/>
          <w:szCs w:val="24"/>
        </w:rPr>
        <w:t xml:space="preserve">shareholders will be able to </w:t>
      </w:r>
      <w:r w:rsidR="00EB4E05">
        <w:rPr>
          <w:rFonts w:cs="Times New Roman"/>
          <w:sz w:val="24"/>
          <w:szCs w:val="24"/>
        </w:rPr>
        <w:t xml:space="preserve">find remedy </w:t>
      </w:r>
      <w:r w:rsidR="00044556">
        <w:rPr>
          <w:rFonts w:cs="Times New Roman"/>
          <w:sz w:val="24"/>
          <w:szCs w:val="24"/>
        </w:rPr>
        <w:t>"</w:t>
      </w:r>
      <w:r w:rsidR="00EB4E05">
        <w:rPr>
          <w:rFonts w:cs="Times New Roman"/>
          <w:sz w:val="24"/>
          <w:szCs w:val="24"/>
        </w:rPr>
        <w:t>through the procedures of corporate democracy.</w:t>
      </w:r>
      <w:r w:rsidR="00044556">
        <w:rPr>
          <w:rFonts w:cs="Times New Roman"/>
          <w:sz w:val="24"/>
          <w:szCs w:val="24"/>
        </w:rPr>
        <w:t>"</w:t>
      </w:r>
      <w:r w:rsidR="00EB4E05">
        <w:rPr>
          <w:rStyle w:val="FootnoteReference"/>
          <w:rFonts w:cs="Times New Roman"/>
          <w:sz w:val="24"/>
          <w:szCs w:val="24"/>
        </w:rPr>
        <w:footnoteReference w:id="117"/>
      </w:r>
      <w:r w:rsidR="00E81619">
        <w:rPr>
          <w:rFonts w:cs="Times New Roman"/>
          <w:sz w:val="24"/>
          <w:szCs w:val="24"/>
        </w:rPr>
        <w:t xml:space="preserve">  </w:t>
      </w:r>
      <w:r w:rsidR="00D56FD0">
        <w:rPr>
          <w:rFonts w:cs="Times New Roman"/>
          <w:sz w:val="24"/>
          <w:szCs w:val="24"/>
        </w:rPr>
        <w:t>Indeed</w:t>
      </w:r>
      <w:r w:rsidR="001F4759">
        <w:rPr>
          <w:rFonts w:cs="Times New Roman"/>
          <w:sz w:val="24"/>
          <w:szCs w:val="24"/>
        </w:rPr>
        <w:t xml:space="preserve">, </w:t>
      </w:r>
      <w:r w:rsidR="00044556">
        <w:rPr>
          <w:rFonts w:cs="Times New Roman"/>
          <w:sz w:val="24"/>
          <w:szCs w:val="24"/>
        </w:rPr>
        <w:t>"</w:t>
      </w:r>
      <w:r w:rsidR="001F4759">
        <w:rPr>
          <w:rFonts w:cs="Times New Roman"/>
          <w:sz w:val="24"/>
          <w:szCs w:val="24"/>
        </w:rPr>
        <w:t>stockholders have powerful rights they can use to protect themselves . . . .</w:t>
      </w:r>
      <w:r w:rsidR="00044556">
        <w:rPr>
          <w:rFonts w:cs="Times New Roman"/>
          <w:sz w:val="24"/>
          <w:szCs w:val="24"/>
        </w:rPr>
        <w:t>"</w:t>
      </w:r>
      <w:r w:rsidR="004246B6">
        <w:rPr>
          <w:rStyle w:val="FootnoteReference"/>
          <w:rFonts w:cs="Times New Roman"/>
          <w:sz w:val="24"/>
          <w:szCs w:val="24"/>
        </w:rPr>
        <w:footnoteReference w:id="118"/>
      </w:r>
      <w:r w:rsidR="00517159">
        <w:rPr>
          <w:rFonts w:cs="Times New Roman"/>
          <w:sz w:val="24"/>
          <w:szCs w:val="24"/>
        </w:rPr>
        <w:t xml:space="preserve">  </w:t>
      </w:r>
      <w:r w:rsidR="00D26300">
        <w:rPr>
          <w:rFonts w:cs="Times New Roman"/>
          <w:sz w:val="24"/>
          <w:szCs w:val="24"/>
        </w:rPr>
        <w:t>First, they can vote the offending directors out of their positions</w:t>
      </w:r>
      <w:r w:rsidR="00D26300">
        <w:rPr>
          <w:rStyle w:val="FootnoteReference"/>
          <w:rFonts w:cs="Times New Roman"/>
          <w:sz w:val="24"/>
          <w:szCs w:val="24"/>
        </w:rPr>
        <w:footnoteReference w:id="119"/>
      </w:r>
      <w:r w:rsidR="00EC1DA9">
        <w:rPr>
          <w:rFonts w:cs="Times New Roman"/>
          <w:sz w:val="24"/>
          <w:szCs w:val="24"/>
        </w:rPr>
        <w:t xml:space="preserve"> and elect a new board in its place</w:t>
      </w:r>
      <w:r w:rsidR="00035ABB">
        <w:rPr>
          <w:rFonts w:cs="Times New Roman"/>
          <w:sz w:val="24"/>
          <w:szCs w:val="24"/>
        </w:rPr>
        <w:t xml:space="preserve"> with a more shareholder-friendly attitude</w:t>
      </w:r>
      <w:r w:rsidR="00EC1DA9">
        <w:rPr>
          <w:rFonts w:cs="Times New Roman"/>
          <w:sz w:val="24"/>
          <w:szCs w:val="24"/>
        </w:rPr>
        <w:t>.</w:t>
      </w:r>
      <w:r w:rsidR="00EC1DA9">
        <w:rPr>
          <w:rStyle w:val="FootnoteReference"/>
          <w:rFonts w:cs="Times New Roman"/>
          <w:sz w:val="24"/>
          <w:szCs w:val="24"/>
        </w:rPr>
        <w:footnoteReference w:id="120"/>
      </w:r>
      <w:r w:rsidR="005F2B0D">
        <w:rPr>
          <w:rFonts w:cs="Times New Roman"/>
          <w:sz w:val="24"/>
          <w:szCs w:val="24"/>
        </w:rPr>
        <w:t xml:space="preserve">  </w:t>
      </w:r>
      <w:r w:rsidR="000E12E0">
        <w:rPr>
          <w:rFonts w:cs="Times New Roman"/>
          <w:sz w:val="24"/>
          <w:szCs w:val="24"/>
        </w:rPr>
        <w:t>Institutional investors may be more willing and able to take this approach</w:t>
      </w:r>
      <w:r w:rsidR="003A6F85">
        <w:rPr>
          <w:rFonts w:cs="Times New Roman"/>
          <w:sz w:val="24"/>
          <w:szCs w:val="24"/>
        </w:rPr>
        <w:t>.</w:t>
      </w:r>
      <w:r w:rsidR="003A6F85">
        <w:rPr>
          <w:rStyle w:val="FootnoteReference"/>
          <w:rFonts w:cs="Times New Roman"/>
          <w:sz w:val="24"/>
          <w:szCs w:val="24"/>
        </w:rPr>
        <w:footnoteReference w:id="121"/>
      </w:r>
      <w:r w:rsidR="00C86F49">
        <w:rPr>
          <w:rFonts w:cs="Times New Roman"/>
          <w:sz w:val="24"/>
          <w:szCs w:val="24"/>
        </w:rPr>
        <w:t xml:space="preserve"> </w:t>
      </w:r>
      <w:r w:rsidR="00745386">
        <w:rPr>
          <w:rFonts w:cs="Times New Roman"/>
          <w:sz w:val="24"/>
          <w:szCs w:val="24"/>
        </w:rPr>
        <w:t xml:space="preserve"> </w:t>
      </w:r>
      <w:r w:rsidR="00C86F49">
        <w:rPr>
          <w:rFonts w:cs="Times New Roman"/>
          <w:sz w:val="24"/>
          <w:szCs w:val="24"/>
        </w:rPr>
        <w:t>Second, a majority of the stockholders can vote to repeal the bylaw.</w:t>
      </w:r>
      <w:r w:rsidR="0083297B">
        <w:rPr>
          <w:rStyle w:val="FootnoteReference"/>
          <w:rFonts w:cs="Times New Roman"/>
          <w:sz w:val="24"/>
          <w:szCs w:val="24"/>
        </w:rPr>
        <w:footnoteReference w:id="122"/>
      </w:r>
      <w:r w:rsidR="00B25772">
        <w:rPr>
          <w:rFonts w:cs="Times New Roman"/>
          <w:sz w:val="24"/>
          <w:szCs w:val="24"/>
        </w:rPr>
        <w:t xml:space="preserve">  Their right to do so is </w:t>
      </w:r>
      <w:r w:rsidR="00044556">
        <w:rPr>
          <w:rFonts w:cs="Times New Roman"/>
          <w:sz w:val="24"/>
          <w:szCs w:val="24"/>
        </w:rPr>
        <w:t>"</w:t>
      </w:r>
      <w:r w:rsidR="00B25772">
        <w:rPr>
          <w:rFonts w:cs="Times New Roman"/>
          <w:sz w:val="24"/>
          <w:szCs w:val="24"/>
        </w:rPr>
        <w:t xml:space="preserve">legally sacrosanct; </w:t>
      </w:r>
      <w:r w:rsidR="00B25772">
        <w:rPr>
          <w:rFonts w:cs="Times New Roman"/>
          <w:i/>
          <w:sz w:val="24"/>
          <w:szCs w:val="24"/>
        </w:rPr>
        <w:t>i.e.</w:t>
      </w:r>
      <w:r w:rsidR="00B25772">
        <w:rPr>
          <w:rFonts w:cs="Times New Roman"/>
          <w:sz w:val="24"/>
          <w:szCs w:val="24"/>
        </w:rPr>
        <w:t>, the power cannot be non-consensually eliminated or limited by anyone other than the legislature itself.</w:t>
      </w:r>
      <w:r w:rsidR="00044556">
        <w:rPr>
          <w:rFonts w:cs="Times New Roman"/>
          <w:sz w:val="24"/>
          <w:szCs w:val="24"/>
        </w:rPr>
        <w:t>"</w:t>
      </w:r>
      <w:r w:rsidR="004C530F">
        <w:rPr>
          <w:rStyle w:val="FootnoteReference"/>
          <w:rFonts w:cs="Times New Roman"/>
          <w:sz w:val="24"/>
          <w:szCs w:val="24"/>
        </w:rPr>
        <w:footnoteReference w:id="123"/>
      </w:r>
      <w:r w:rsidR="00B8607A">
        <w:rPr>
          <w:rFonts w:cs="Times New Roman"/>
          <w:sz w:val="24"/>
          <w:szCs w:val="24"/>
        </w:rPr>
        <w:t xml:space="preserve">  Third, if the above </w:t>
      </w:r>
      <w:r w:rsidR="001E59D2">
        <w:rPr>
          <w:rFonts w:cs="Times New Roman"/>
          <w:sz w:val="24"/>
          <w:szCs w:val="24"/>
        </w:rPr>
        <w:t xml:space="preserve">two options are unsuccessful, most stockholders can simply sell their shares and </w:t>
      </w:r>
      <w:r w:rsidR="00D15357">
        <w:rPr>
          <w:rFonts w:cs="Times New Roman"/>
          <w:sz w:val="24"/>
          <w:szCs w:val="24"/>
        </w:rPr>
        <w:t>invest their money elsewhere.</w:t>
      </w:r>
      <w:r w:rsidR="00ED0D6A">
        <w:rPr>
          <w:rStyle w:val="FootnoteReference"/>
          <w:rFonts w:cs="Times New Roman"/>
          <w:sz w:val="24"/>
          <w:szCs w:val="24"/>
        </w:rPr>
        <w:footnoteReference w:id="124"/>
      </w:r>
      <w:r w:rsidR="000B47D9">
        <w:rPr>
          <w:rFonts w:cs="Times New Roman"/>
          <w:sz w:val="24"/>
          <w:szCs w:val="24"/>
        </w:rPr>
        <w:t xml:space="preserve">  </w:t>
      </w:r>
      <w:r w:rsidR="00683FC4">
        <w:rPr>
          <w:rFonts w:cs="Times New Roman"/>
          <w:sz w:val="24"/>
          <w:szCs w:val="24"/>
        </w:rPr>
        <w:t xml:space="preserve">If enough stockholders sell, the </w:t>
      </w:r>
      <w:r w:rsidR="00B37944">
        <w:rPr>
          <w:rFonts w:cs="Times New Roman"/>
          <w:sz w:val="24"/>
          <w:szCs w:val="24"/>
        </w:rPr>
        <w:t xml:space="preserve">company's </w:t>
      </w:r>
      <w:r w:rsidR="004167AB">
        <w:rPr>
          <w:rFonts w:cs="Times New Roman"/>
          <w:sz w:val="24"/>
          <w:szCs w:val="24"/>
        </w:rPr>
        <w:t>share price</w:t>
      </w:r>
      <w:r w:rsidR="00B13CB6">
        <w:rPr>
          <w:rFonts w:cs="Times New Roman"/>
          <w:sz w:val="24"/>
          <w:szCs w:val="24"/>
        </w:rPr>
        <w:t xml:space="preserve"> will </w:t>
      </w:r>
      <w:r w:rsidR="004167AB">
        <w:rPr>
          <w:rFonts w:cs="Times New Roman"/>
          <w:sz w:val="24"/>
          <w:szCs w:val="24"/>
        </w:rPr>
        <w:t>fall</w:t>
      </w:r>
      <w:r w:rsidR="00B13CB6">
        <w:rPr>
          <w:rFonts w:cs="Times New Roman"/>
          <w:sz w:val="24"/>
          <w:szCs w:val="24"/>
        </w:rPr>
        <w:t xml:space="preserve">, thereby adding a disincentive to </w:t>
      </w:r>
      <w:r w:rsidR="001710F6">
        <w:rPr>
          <w:rFonts w:cs="Times New Roman"/>
          <w:sz w:val="24"/>
          <w:szCs w:val="24"/>
        </w:rPr>
        <w:t>adopting fee-shifting bylaws in the first place.</w:t>
      </w:r>
    </w:p>
    <w:p w14:paraId="1CD27C09" w14:textId="1BA23D5F" w:rsidR="007F7332" w:rsidRPr="001F4759" w:rsidRDefault="007F7332" w:rsidP="00316553">
      <w:pPr>
        <w:widowControl w:val="0"/>
        <w:spacing w:line="480" w:lineRule="auto"/>
        <w:ind w:firstLine="720"/>
        <w:jc w:val="both"/>
        <w:rPr>
          <w:rFonts w:cs="Times New Roman"/>
          <w:sz w:val="24"/>
          <w:szCs w:val="24"/>
        </w:rPr>
      </w:pPr>
      <w:r>
        <w:rPr>
          <w:rFonts w:cs="Times New Roman"/>
          <w:sz w:val="24"/>
          <w:szCs w:val="24"/>
        </w:rPr>
        <w:t xml:space="preserve">The problem with </w:t>
      </w:r>
      <w:r w:rsidR="00007A4C">
        <w:rPr>
          <w:rFonts w:cs="Times New Roman"/>
          <w:sz w:val="24"/>
          <w:szCs w:val="24"/>
        </w:rPr>
        <w:t>corporate</w:t>
      </w:r>
      <w:r>
        <w:rPr>
          <w:rFonts w:cs="Times New Roman"/>
          <w:sz w:val="24"/>
          <w:szCs w:val="24"/>
        </w:rPr>
        <w:t xml:space="preserve"> democratic rights, of course, is that a majority or mor</w:t>
      </w:r>
      <w:r w:rsidR="00953223">
        <w:rPr>
          <w:rFonts w:cs="Times New Roman"/>
          <w:sz w:val="24"/>
          <w:szCs w:val="24"/>
        </w:rPr>
        <w:t>e of the stockholder vote is</w:t>
      </w:r>
      <w:r>
        <w:rPr>
          <w:rFonts w:cs="Times New Roman"/>
          <w:sz w:val="24"/>
          <w:szCs w:val="24"/>
        </w:rPr>
        <w:t xml:space="preserve"> required to </w:t>
      </w:r>
      <w:r w:rsidR="00007A4C">
        <w:rPr>
          <w:rFonts w:cs="Times New Roman"/>
          <w:sz w:val="24"/>
          <w:szCs w:val="24"/>
        </w:rPr>
        <w:t>implement them</w:t>
      </w:r>
      <w:r>
        <w:rPr>
          <w:rFonts w:cs="Times New Roman"/>
          <w:sz w:val="24"/>
          <w:szCs w:val="24"/>
        </w:rPr>
        <w:t xml:space="preserve">.  Therefore, minority shareholders may be unable to </w:t>
      </w:r>
      <w:r w:rsidR="00A43E18">
        <w:rPr>
          <w:rFonts w:cs="Times New Roman"/>
          <w:sz w:val="24"/>
          <w:szCs w:val="24"/>
        </w:rPr>
        <w:t>t</w:t>
      </w:r>
      <w:r w:rsidR="00B92495">
        <w:rPr>
          <w:rFonts w:cs="Times New Roman"/>
          <w:sz w:val="24"/>
          <w:szCs w:val="24"/>
        </w:rPr>
        <w:t>ake advantage of these remedies, especially where there is no ready market for their shares</w:t>
      </w:r>
      <w:r w:rsidR="00B75EDE">
        <w:rPr>
          <w:rFonts w:cs="Times New Roman"/>
          <w:sz w:val="24"/>
          <w:szCs w:val="24"/>
        </w:rPr>
        <w:t xml:space="preserve"> (such as in a close corporation)</w:t>
      </w:r>
      <w:r w:rsidR="00B92495">
        <w:rPr>
          <w:rFonts w:cs="Times New Roman"/>
          <w:sz w:val="24"/>
          <w:szCs w:val="24"/>
        </w:rPr>
        <w:t>.</w:t>
      </w:r>
      <w:r w:rsidR="005D2908">
        <w:rPr>
          <w:rFonts w:cs="Times New Roman"/>
          <w:sz w:val="24"/>
          <w:szCs w:val="24"/>
        </w:rPr>
        <w:t xml:space="preserve">  </w:t>
      </w:r>
      <w:r w:rsidR="00216256">
        <w:rPr>
          <w:rFonts w:cs="Times New Roman"/>
          <w:sz w:val="24"/>
          <w:szCs w:val="24"/>
        </w:rPr>
        <w:t>Doing nothing to limit fee-shifting bylaws, therefore, will not be sufficient to protect the i</w:t>
      </w:r>
      <w:r w:rsidR="00E27C54">
        <w:rPr>
          <w:rFonts w:cs="Times New Roman"/>
          <w:sz w:val="24"/>
          <w:szCs w:val="24"/>
        </w:rPr>
        <w:t xml:space="preserve">nterests of such stockholders.  </w:t>
      </w:r>
      <w:r w:rsidR="00DD3796">
        <w:rPr>
          <w:rFonts w:cs="Times New Roman"/>
          <w:sz w:val="24"/>
          <w:szCs w:val="24"/>
        </w:rPr>
        <w:t>One could argue</w:t>
      </w:r>
      <w:r w:rsidR="0095520B">
        <w:rPr>
          <w:rFonts w:cs="Times New Roman"/>
          <w:sz w:val="24"/>
          <w:szCs w:val="24"/>
        </w:rPr>
        <w:t xml:space="preserve"> that</w:t>
      </w:r>
      <w:r w:rsidR="00C462AE">
        <w:rPr>
          <w:rFonts w:cs="Times New Roman"/>
          <w:sz w:val="24"/>
          <w:szCs w:val="24"/>
        </w:rPr>
        <w:t xml:space="preserve"> t</w:t>
      </w:r>
      <w:r w:rsidR="007E0E16">
        <w:rPr>
          <w:rFonts w:cs="Times New Roman"/>
          <w:sz w:val="24"/>
          <w:szCs w:val="24"/>
        </w:rPr>
        <w:t xml:space="preserve">hose who purchase a minority interest in a corporation </w:t>
      </w:r>
      <w:r w:rsidR="00C462AE">
        <w:rPr>
          <w:rFonts w:cs="Times New Roman"/>
          <w:sz w:val="24"/>
          <w:szCs w:val="24"/>
        </w:rPr>
        <w:t xml:space="preserve">with no ready market for its stock </w:t>
      </w:r>
      <w:r w:rsidR="007E0E16">
        <w:rPr>
          <w:rFonts w:cs="Times New Roman"/>
          <w:sz w:val="24"/>
          <w:szCs w:val="24"/>
        </w:rPr>
        <w:t xml:space="preserve">do so knowing that they may be unable to </w:t>
      </w:r>
      <w:r w:rsidR="00C462AE">
        <w:rPr>
          <w:rFonts w:cs="Times New Roman"/>
          <w:sz w:val="24"/>
          <w:szCs w:val="24"/>
        </w:rPr>
        <w:t>sell their shares</w:t>
      </w:r>
      <w:r w:rsidR="00B959CA">
        <w:rPr>
          <w:rFonts w:cs="Times New Roman"/>
          <w:sz w:val="24"/>
          <w:szCs w:val="24"/>
        </w:rPr>
        <w:t xml:space="preserve">.  </w:t>
      </w:r>
      <w:r w:rsidR="00C462AE">
        <w:rPr>
          <w:rFonts w:cs="Times New Roman"/>
          <w:sz w:val="24"/>
          <w:szCs w:val="24"/>
        </w:rPr>
        <w:t>Nevertheless</w:t>
      </w:r>
      <w:r w:rsidR="006D7077">
        <w:rPr>
          <w:rFonts w:cs="Times New Roman"/>
          <w:sz w:val="24"/>
          <w:szCs w:val="24"/>
        </w:rPr>
        <w:t xml:space="preserve">, </w:t>
      </w:r>
      <w:r w:rsidR="00C462AE">
        <w:rPr>
          <w:rFonts w:cs="Times New Roman"/>
          <w:sz w:val="24"/>
          <w:szCs w:val="24"/>
        </w:rPr>
        <w:t xml:space="preserve">the disparate impact </w:t>
      </w:r>
      <w:r w:rsidR="007A5926">
        <w:rPr>
          <w:rFonts w:cs="Times New Roman"/>
          <w:sz w:val="24"/>
          <w:szCs w:val="24"/>
        </w:rPr>
        <w:t>of fee-shifting</w:t>
      </w:r>
      <w:r w:rsidR="00D12F56">
        <w:rPr>
          <w:rFonts w:cs="Times New Roman"/>
          <w:sz w:val="24"/>
          <w:szCs w:val="24"/>
        </w:rPr>
        <w:t xml:space="preserve"> </w:t>
      </w:r>
      <w:r w:rsidR="00C462AE">
        <w:rPr>
          <w:rFonts w:cs="Times New Roman"/>
          <w:sz w:val="24"/>
          <w:szCs w:val="24"/>
        </w:rPr>
        <w:t xml:space="preserve">on such stockholders </w:t>
      </w:r>
      <w:r w:rsidR="00D12F56">
        <w:rPr>
          <w:rFonts w:cs="Times New Roman"/>
          <w:sz w:val="24"/>
          <w:szCs w:val="24"/>
        </w:rPr>
        <w:t>warrants legislative action</w:t>
      </w:r>
      <w:r w:rsidR="00CB3B5B">
        <w:rPr>
          <w:rFonts w:cs="Times New Roman"/>
          <w:sz w:val="24"/>
          <w:szCs w:val="24"/>
        </w:rPr>
        <w:t xml:space="preserve"> to act</w:t>
      </w:r>
      <w:r w:rsidR="0093676A">
        <w:rPr>
          <w:rFonts w:cs="Times New Roman"/>
          <w:sz w:val="24"/>
          <w:szCs w:val="24"/>
        </w:rPr>
        <w:t xml:space="preserve"> </w:t>
      </w:r>
      <w:r w:rsidR="007879D1">
        <w:rPr>
          <w:rFonts w:cs="Times New Roman"/>
          <w:sz w:val="24"/>
          <w:szCs w:val="24"/>
        </w:rPr>
        <w:t>to protect this discrete group</w:t>
      </w:r>
      <w:r w:rsidR="00767520">
        <w:rPr>
          <w:rFonts w:cs="Times New Roman"/>
          <w:sz w:val="24"/>
          <w:szCs w:val="24"/>
        </w:rPr>
        <w:t xml:space="preserve"> of investors</w:t>
      </w:r>
      <w:r w:rsidR="00CB3B5B">
        <w:rPr>
          <w:rFonts w:cs="Times New Roman"/>
          <w:sz w:val="24"/>
          <w:szCs w:val="24"/>
        </w:rPr>
        <w:t>.</w:t>
      </w:r>
      <w:r w:rsidR="00CB3B5B">
        <w:rPr>
          <w:rStyle w:val="FootnoteReference"/>
          <w:rFonts w:cs="Times New Roman"/>
          <w:sz w:val="24"/>
          <w:szCs w:val="24"/>
        </w:rPr>
        <w:footnoteReference w:id="125"/>
      </w:r>
      <w:r w:rsidR="009E0909">
        <w:rPr>
          <w:rFonts w:cs="Times New Roman"/>
          <w:sz w:val="24"/>
          <w:szCs w:val="24"/>
        </w:rPr>
        <w:t xml:space="preserve"> </w:t>
      </w:r>
    </w:p>
    <w:p w14:paraId="045BE6F7" w14:textId="60C875AC" w:rsidR="00F44049" w:rsidRDefault="004444E6" w:rsidP="00021DB6">
      <w:pPr>
        <w:pStyle w:val="Heading2"/>
      </w:pPr>
      <w:r>
        <w:t xml:space="preserve">Judicial </w:t>
      </w:r>
      <w:r w:rsidR="004B7362">
        <w:t>Oversight</w:t>
      </w:r>
    </w:p>
    <w:p w14:paraId="5308E77F" w14:textId="16CB9C8C" w:rsidR="005A0AC5" w:rsidRDefault="001972DC" w:rsidP="00316553">
      <w:pPr>
        <w:widowControl w:val="0"/>
        <w:spacing w:line="480" w:lineRule="auto"/>
        <w:ind w:firstLine="720"/>
        <w:jc w:val="both"/>
        <w:rPr>
          <w:rFonts w:cs="Times New Roman"/>
          <w:sz w:val="24"/>
          <w:szCs w:val="24"/>
        </w:rPr>
      </w:pPr>
      <w:r>
        <w:rPr>
          <w:rFonts w:cs="Times New Roman"/>
          <w:sz w:val="24"/>
          <w:szCs w:val="24"/>
        </w:rPr>
        <w:t>T</w:t>
      </w:r>
      <w:r w:rsidR="007060DA">
        <w:rPr>
          <w:rFonts w:cs="Times New Roman"/>
          <w:sz w:val="24"/>
          <w:szCs w:val="24"/>
        </w:rPr>
        <w:t xml:space="preserve">o what extent can or should Delaware courts </w:t>
      </w:r>
      <w:r w:rsidR="00D07807">
        <w:rPr>
          <w:rFonts w:cs="Times New Roman"/>
          <w:sz w:val="24"/>
          <w:szCs w:val="24"/>
        </w:rPr>
        <w:t>provide judicial remedies</w:t>
      </w:r>
      <w:r w:rsidR="00024D50">
        <w:rPr>
          <w:rFonts w:cs="Times New Roman"/>
          <w:sz w:val="24"/>
          <w:szCs w:val="24"/>
        </w:rPr>
        <w:t xml:space="preserve"> for shareholders who are unhappy with a board's adoption of a fee-shifting bylaw</w:t>
      </w:r>
      <w:r w:rsidR="00D07807">
        <w:rPr>
          <w:rFonts w:cs="Times New Roman"/>
          <w:sz w:val="24"/>
          <w:szCs w:val="24"/>
        </w:rPr>
        <w:t>?</w:t>
      </w:r>
      <w:r w:rsidR="00604941">
        <w:rPr>
          <w:rFonts w:cs="Times New Roman"/>
          <w:sz w:val="24"/>
          <w:szCs w:val="24"/>
        </w:rPr>
        <w:t xml:space="preserve">  </w:t>
      </w:r>
      <w:r w:rsidR="009B1B29">
        <w:rPr>
          <w:rFonts w:cs="Times New Roman"/>
          <w:sz w:val="24"/>
          <w:szCs w:val="24"/>
        </w:rPr>
        <w:t>This subpart discusses</w:t>
      </w:r>
      <w:r w:rsidR="00304F23">
        <w:rPr>
          <w:rFonts w:cs="Times New Roman"/>
          <w:sz w:val="24"/>
          <w:szCs w:val="24"/>
        </w:rPr>
        <w:t xml:space="preserve"> </w:t>
      </w:r>
      <w:r w:rsidR="006F76D1">
        <w:rPr>
          <w:rFonts w:cs="Times New Roman"/>
          <w:sz w:val="24"/>
          <w:szCs w:val="24"/>
        </w:rPr>
        <w:t>(</w:t>
      </w:r>
      <w:r w:rsidR="00304F23">
        <w:rPr>
          <w:rFonts w:cs="Times New Roman"/>
          <w:sz w:val="24"/>
          <w:szCs w:val="24"/>
        </w:rPr>
        <w:t>1)</w:t>
      </w:r>
      <w:r w:rsidR="009B1B29">
        <w:rPr>
          <w:rFonts w:cs="Times New Roman"/>
          <w:sz w:val="24"/>
          <w:szCs w:val="24"/>
        </w:rPr>
        <w:t xml:space="preserve"> the potential for </w:t>
      </w:r>
      <w:r w:rsidR="008E570B">
        <w:rPr>
          <w:rFonts w:cs="Times New Roman"/>
          <w:sz w:val="24"/>
          <w:szCs w:val="24"/>
        </w:rPr>
        <w:t>allowing</w:t>
      </w:r>
      <w:r w:rsidR="00865946">
        <w:rPr>
          <w:rFonts w:cs="Times New Roman"/>
          <w:sz w:val="24"/>
          <w:szCs w:val="24"/>
        </w:rPr>
        <w:t xml:space="preserve"> Delaware c</w:t>
      </w:r>
      <w:r w:rsidR="00604941" w:rsidRPr="00F44049">
        <w:rPr>
          <w:rFonts w:cs="Times New Roman"/>
          <w:sz w:val="24"/>
          <w:szCs w:val="24"/>
        </w:rPr>
        <w:t>ourts</w:t>
      </w:r>
      <w:r w:rsidR="00036654">
        <w:rPr>
          <w:rFonts w:cs="Times New Roman"/>
          <w:sz w:val="24"/>
          <w:szCs w:val="24"/>
        </w:rPr>
        <w:t xml:space="preserve"> </w:t>
      </w:r>
      <w:r w:rsidR="007C07D8">
        <w:rPr>
          <w:rFonts w:cs="Times New Roman"/>
          <w:sz w:val="24"/>
          <w:szCs w:val="24"/>
        </w:rPr>
        <w:t>to evaluate</w:t>
      </w:r>
      <w:r w:rsidR="00604941">
        <w:rPr>
          <w:rFonts w:cs="Times New Roman"/>
          <w:sz w:val="24"/>
          <w:szCs w:val="24"/>
        </w:rPr>
        <w:t xml:space="preserve"> fee-shifting bylaws </w:t>
      </w:r>
      <w:r w:rsidR="00186E13">
        <w:rPr>
          <w:rFonts w:cs="Times New Roman"/>
          <w:sz w:val="24"/>
          <w:szCs w:val="24"/>
        </w:rPr>
        <w:t xml:space="preserve">without legislative guidance </w:t>
      </w:r>
      <w:r w:rsidR="006F76D1">
        <w:rPr>
          <w:rFonts w:cs="Times New Roman"/>
          <w:sz w:val="24"/>
          <w:szCs w:val="24"/>
        </w:rPr>
        <w:t>and</w:t>
      </w:r>
      <w:r w:rsidR="00304F23">
        <w:rPr>
          <w:rFonts w:cs="Times New Roman"/>
          <w:sz w:val="24"/>
          <w:szCs w:val="24"/>
        </w:rPr>
        <w:t xml:space="preserve"> </w:t>
      </w:r>
      <w:r w:rsidR="006F76D1">
        <w:rPr>
          <w:rFonts w:cs="Times New Roman"/>
          <w:sz w:val="24"/>
          <w:szCs w:val="24"/>
        </w:rPr>
        <w:t>(</w:t>
      </w:r>
      <w:r w:rsidR="00304F23">
        <w:rPr>
          <w:rFonts w:cs="Times New Roman"/>
          <w:sz w:val="24"/>
          <w:szCs w:val="24"/>
        </w:rPr>
        <w:t xml:space="preserve">2) </w:t>
      </w:r>
      <w:r w:rsidR="00D14A57">
        <w:rPr>
          <w:rFonts w:cs="Times New Roman"/>
          <w:sz w:val="24"/>
          <w:szCs w:val="24"/>
        </w:rPr>
        <w:t>under what circumstances the courts are likely to declare a bylaw unenforceable.</w:t>
      </w:r>
    </w:p>
    <w:p w14:paraId="2324E48D" w14:textId="1188BB3B" w:rsidR="004828F6" w:rsidRDefault="002A5546" w:rsidP="00316553">
      <w:pPr>
        <w:widowControl w:val="0"/>
        <w:spacing w:line="480" w:lineRule="auto"/>
        <w:ind w:firstLine="720"/>
        <w:jc w:val="both"/>
        <w:rPr>
          <w:rFonts w:cs="Times New Roman"/>
          <w:sz w:val="24"/>
          <w:szCs w:val="24"/>
        </w:rPr>
      </w:pPr>
      <w:r w:rsidRPr="00F44049">
        <w:rPr>
          <w:rFonts w:cs="Times New Roman"/>
          <w:sz w:val="24"/>
          <w:szCs w:val="24"/>
        </w:rPr>
        <w:t xml:space="preserve">As the Court cautioned in </w:t>
      </w:r>
      <w:r w:rsidRPr="00F44049">
        <w:rPr>
          <w:rFonts w:cs="Times New Roman"/>
          <w:i/>
          <w:sz w:val="24"/>
          <w:szCs w:val="24"/>
        </w:rPr>
        <w:t>ATP Tour</w:t>
      </w:r>
      <w:r w:rsidRPr="00F44049">
        <w:rPr>
          <w:rFonts w:cs="Times New Roman"/>
          <w:sz w:val="24"/>
          <w:szCs w:val="24"/>
        </w:rPr>
        <w:t>, mere facial validity does not an enforceable bylaw make</w:t>
      </w:r>
      <w:r w:rsidR="00976E46">
        <w:rPr>
          <w:rFonts w:cs="Times New Roman"/>
          <w:sz w:val="24"/>
          <w:szCs w:val="24"/>
        </w:rPr>
        <w:t>;</w:t>
      </w:r>
      <w:r w:rsidR="00A92B46">
        <w:rPr>
          <w:rFonts w:cs="Times New Roman"/>
          <w:sz w:val="24"/>
          <w:szCs w:val="24"/>
        </w:rPr>
        <w:t xml:space="preserve"> instead, courts must consider equitable limitations as well</w:t>
      </w:r>
      <w:r w:rsidRPr="00F44049">
        <w:rPr>
          <w:rFonts w:cs="Times New Roman"/>
          <w:sz w:val="24"/>
          <w:szCs w:val="24"/>
        </w:rPr>
        <w:t>.</w:t>
      </w:r>
      <w:r w:rsidR="00EF372B" w:rsidRPr="009014AE">
        <w:rPr>
          <w:rStyle w:val="FootnoteReference"/>
          <w:rFonts w:cs="Times New Roman"/>
          <w:sz w:val="24"/>
          <w:szCs w:val="24"/>
        </w:rPr>
        <w:footnoteReference w:id="126"/>
      </w:r>
      <w:r w:rsidR="003973AF">
        <w:rPr>
          <w:rFonts w:cs="Times New Roman"/>
          <w:sz w:val="24"/>
          <w:szCs w:val="24"/>
        </w:rPr>
        <w:t xml:space="preserve"> </w:t>
      </w:r>
      <w:r w:rsidR="00A92B46">
        <w:rPr>
          <w:rFonts w:cs="Times New Roman"/>
          <w:sz w:val="24"/>
          <w:szCs w:val="24"/>
        </w:rPr>
        <w:t xml:space="preserve"> </w:t>
      </w:r>
      <w:r w:rsidR="003C21A5">
        <w:rPr>
          <w:rFonts w:cs="Times New Roman"/>
          <w:sz w:val="24"/>
          <w:szCs w:val="24"/>
        </w:rPr>
        <w:t>In crafting the DGCL, the</w:t>
      </w:r>
      <w:r w:rsidR="009956CD" w:rsidRPr="00F44049">
        <w:rPr>
          <w:rFonts w:cs="Times New Roman"/>
          <w:sz w:val="24"/>
          <w:szCs w:val="24"/>
        </w:rPr>
        <w:t xml:space="preserve"> </w:t>
      </w:r>
      <w:r w:rsidR="009538DE" w:rsidRPr="00F44049">
        <w:rPr>
          <w:rFonts w:cs="Times New Roman"/>
          <w:sz w:val="24"/>
          <w:szCs w:val="24"/>
        </w:rPr>
        <w:t xml:space="preserve">Delaware </w:t>
      </w:r>
      <w:r w:rsidR="009956CD" w:rsidRPr="00F44049">
        <w:rPr>
          <w:rFonts w:cs="Times New Roman"/>
          <w:sz w:val="24"/>
          <w:szCs w:val="24"/>
        </w:rPr>
        <w:t>legislature decided to</w:t>
      </w:r>
      <w:r w:rsidR="009538DE" w:rsidRPr="00F44049">
        <w:rPr>
          <w:rFonts w:cs="Times New Roman"/>
          <w:sz w:val="24"/>
          <w:szCs w:val="24"/>
        </w:rPr>
        <w:t xml:space="preserve"> </w:t>
      </w:r>
      <w:r w:rsidR="009956CD" w:rsidRPr="00F44049">
        <w:rPr>
          <w:rFonts w:cs="Times New Roman"/>
          <w:sz w:val="24"/>
          <w:szCs w:val="24"/>
        </w:rPr>
        <w:t>allow</w:t>
      </w:r>
      <w:r w:rsidR="009538DE" w:rsidRPr="00F44049">
        <w:rPr>
          <w:rFonts w:cs="Times New Roman"/>
          <w:sz w:val="24"/>
          <w:szCs w:val="24"/>
        </w:rPr>
        <w:t xml:space="preserve"> broad authority to directors and then </w:t>
      </w:r>
      <w:r w:rsidR="000063A2" w:rsidRPr="00F44049">
        <w:rPr>
          <w:rFonts w:cs="Times New Roman"/>
          <w:sz w:val="24"/>
          <w:szCs w:val="24"/>
        </w:rPr>
        <w:t>utilize</w:t>
      </w:r>
      <w:r w:rsidR="00D16B2E" w:rsidRPr="00F44049">
        <w:rPr>
          <w:rFonts w:cs="Times New Roman"/>
          <w:sz w:val="24"/>
          <w:szCs w:val="24"/>
        </w:rPr>
        <w:t xml:space="preserve"> judicial oversight to both deter and correct abuse of that </w:t>
      </w:r>
      <w:r w:rsidR="00EB70D7" w:rsidRPr="00F44049">
        <w:rPr>
          <w:rFonts w:cs="Times New Roman"/>
          <w:sz w:val="24"/>
          <w:szCs w:val="24"/>
        </w:rPr>
        <w:t>authority</w:t>
      </w:r>
      <w:r w:rsidR="0071552F" w:rsidRPr="00F44049">
        <w:rPr>
          <w:rFonts w:cs="Times New Roman"/>
          <w:sz w:val="24"/>
          <w:szCs w:val="24"/>
        </w:rPr>
        <w:t>.</w:t>
      </w:r>
      <w:r w:rsidR="003E57AA" w:rsidRPr="009014AE">
        <w:rPr>
          <w:rStyle w:val="FootnoteReference"/>
          <w:rFonts w:cs="Times New Roman"/>
          <w:sz w:val="24"/>
          <w:szCs w:val="24"/>
        </w:rPr>
        <w:footnoteReference w:id="127"/>
      </w:r>
      <w:r w:rsidR="00335493">
        <w:rPr>
          <w:rFonts w:cs="Times New Roman"/>
          <w:sz w:val="24"/>
          <w:szCs w:val="24"/>
        </w:rPr>
        <w:t xml:space="preserve"> </w:t>
      </w:r>
      <w:r w:rsidR="00D17366" w:rsidRPr="00F44049">
        <w:rPr>
          <w:rFonts w:cs="Times New Roman"/>
          <w:sz w:val="24"/>
          <w:szCs w:val="24"/>
        </w:rPr>
        <w:t xml:space="preserve"> </w:t>
      </w:r>
      <w:r w:rsidR="00E51FBF" w:rsidRPr="00F44049">
        <w:rPr>
          <w:rFonts w:cs="Times New Roman"/>
          <w:sz w:val="24"/>
          <w:szCs w:val="24"/>
        </w:rPr>
        <w:t xml:space="preserve">Delaware corporate law </w:t>
      </w:r>
      <w:r w:rsidR="00E51FBF">
        <w:rPr>
          <w:rFonts w:cs="Times New Roman"/>
          <w:sz w:val="24"/>
          <w:szCs w:val="24"/>
        </w:rPr>
        <w:t xml:space="preserve">therefore </w:t>
      </w:r>
      <w:r w:rsidR="00E51FBF" w:rsidRPr="00F44049">
        <w:rPr>
          <w:rFonts w:cs="Times New Roman"/>
          <w:sz w:val="24"/>
          <w:szCs w:val="24"/>
        </w:rPr>
        <w:t xml:space="preserve">relies on the Court of Chancery </w:t>
      </w:r>
      <w:r w:rsidR="00044556">
        <w:rPr>
          <w:rFonts w:cs="Times New Roman"/>
          <w:sz w:val="24"/>
          <w:szCs w:val="24"/>
        </w:rPr>
        <w:t>"</w:t>
      </w:r>
      <w:r w:rsidR="00E51FBF" w:rsidRPr="00F44049">
        <w:rPr>
          <w:rFonts w:cs="Times New Roman"/>
          <w:sz w:val="24"/>
          <w:szCs w:val="24"/>
        </w:rPr>
        <w:t>to ensure that corporate directors do not use the wide authority granted to them by statute for ends that are inimical to the best interests of the corporations they serve.</w:t>
      </w:r>
      <w:r w:rsidR="00044556">
        <w:rPr>
          <w:rFonts w:cs="Times New Roman"/>
          <w:sz w:val="24"/>
          <w:szCs w:val="24"/>
        </w:rPr>
        <w:t>"</w:t>
      </w:r>
      <w:r w:rsidR="00E51FBF" w:rsidRPr="009014AE">
        <w:rPr>
          <w:rStyle w:val="FootnoteReference"/>
          <w:rFonts w:cs="Times New Roman"/>
          <w:sz w:val="24"/>
          <w:szCs w:val="24"/>
        </w:rPr>
        <w:footnoteReference w:id="128"/>
      </w:r>
      <w:r w:rsidR="00E51FBF" w:rsidRPr="00F44049">
        <w:rPr>
          <w:rFonts w:cs="Times New Roman"/>
          <w:sz w:val="24"/>
          <w:szCs w:val="24"/>
        </w:rPr>
        <w:t xml:space="preserve">  </w:t>
      </w:r>
      <w:r w:rsidR="006F5F5A">
        <w:rPr>
          <w:rFonts w:cs="Times New Roman"/>
          <w:sz w:val="24"/>
          <w:szCs w:val="24"/>
        </w:rPr>
        <w:t>A legislative mandate</w:t>
      </w:r>
      <w:r w:rsidR="00D16B2E" w:rsidRPr="00F44049">
        <w:rPr>
          <w:rFonts w:cs="Times New Roman"/>
          <w:sz w:val="24"/>
          <w:szCs w:val="24"/>
        </w:rPr>
        <w:t xml:space="preserve"> </w:t>
      </w:r>
      <w:r w:rsidR="00425EC2" w:rsidRPr="00F44049">
        <w:rPr>
          <w:rFonts w:cs="Times New Roman"/>
          <w:sz w:val="24"/>
          <w:szCs w:val="24"/>
        </w:rPr>
        <w:t>prohibiting directors from using</w:t>
      </w:r>
      <w:r w:rsidR="00D16B2E" w:rsidRPr="00F44049">
        <w:rPr>
          <w:rFonts w:cs="Times New Roman"/>
          <w:sz w:val="24"/>
          <w:szCs w:val="24"/>
        </w:rPr>
        <w:t xml:space="preserve"> fee-shifting bylaws would disrupt this system by </w:t>
      </w:r>
      <w:r w:rsidR="003C6DAD">
        <w:rPr>
          <w:rFonts w:cs="Times New Roman"/>
          <w:sz w:val="24"/>
          <w:szCs w:val="24"/>
        </w:rPr>
        <w:t xml:space="preserve">prematurely </w:t>
      </w:r>
      <w:r w:rsidR="00CE4BF1">
        <w:rPr>
          <w:rFonts w:cs="Times New Roman"/>
          <w:sz w:val="24"/>
          <w:szCs w:val="24"/>
        </w:rPr>
        <w:t>stripping</w:t>
      </w:r>
      <w:r w:rsidR="00A03915" w:rsidRPr="00F44049">
        <w:rPr>
          <w:rFonts w:cs="Times New Roman"/>
          <w:sz w:val="24"/>
          <w:szCs w:val="24"/>
        </w:rPr>
        <w:t xml:space="preserve"> </w:t>
      </w:r>
      <w:r w:rsidR="00854B9E" w:rsidRPr="00F44049">
        <w:rPr>
          <w:rFonts w:cs="Times New Roman"/>
          <w:sz w:val="24"/>
          <w:szCs w:val="24"/>
        </w:rPr>
        <w:t>director</w:t>
      </w:r>
      <w:r w:rsidR="00CE4BF1">
        <w:rPr>
          <w:rFonts w:cs="Times New Roman"/>
          <w:sz w:val="24"/>
          <w:szCs w:val="24"/>
        </w:rPr>
        <w:t>s of a</w:t>
      </w:r>
      <w:r w:rsidR="00854B9E" w:rsidRPr="00F44049">
        <w:rPr>
          <w:rFonts w:cs="Times New Roman"/>
          <w:sz w:val="24"/>
          <w:szCs w:val="24"/>
        </w:rPr>
        <w:t xml:space="preserve"> power</w:t>
      </w:r>
      <w:r w:rsidR="003A3A87">
        <w:rPr>
          <w:rFonts w:cs="Times New Roman"/>
          <w:sz w:val="24"/>
          <w:szCs w:val="24"/>
        </w:rPr>
        <w:t xml:space="preserve"> whose</w:t>
      </w:r>
      <w:r w:rsidR="00854B9E" w:rsidRPr="00F44049">
        <w:rPr>
          <w:rFonts w:cs="Times New Roman"/>
          <w:sz w:val="24"/>
          <w:szCs w:val="24"/>
        </w:rPr>
        <w:t xml:space="preserve"> </w:t>
      </w:r>
      <w:r w:rsidR="00EF7164">
        <w:rPr>
          <w:rFonts w:cs="Times New Roman"/>
          <w:sz w:val="24"/>
          <w:szCs w:val="24"/>
        </w:rPr>
        <w:t>implications</w:t>
      </w:r>
      <w:r w:rsidR="00A54937">
        <w:rPr>
          <w:rFonts w:cs="Times New Roman"/>
          <w:sz w:val="24"/>
          <w:szCs w:val="24"/>
        </w:rPr>
        <w:t xml:space="preserve"> </w:t>
      </w:r>
      <w:r w:rsidR="0032483C">
        <w:rPr>
          <w:rFonts w:cs="Times New Roman"/>
          <w:sz w:val="24"/>
          <w:szCs w:val="24"/>
        </w:rPr>
        <w:t>are not yet known</w:t>
      </w:r>
      <w:r w:rsidR="00A03915" w:rsidRPr="00F44049">
        <w:rPr>
          <w:rFonts w:cs="Times New Roman"/>
          <w:sz w:val="24"/>
          <w:szCs w:val="24"/>
        </w:rPr>
        <w:t xml:space="preserve">. </w:t>
      </w:r>
      <w:r w:rsidR="0003553F" w:rsidRPr="00F44049">
        <w:rPr>
          <w:rFonts w:cs="Times New Roman"/>
          <w:sz w:val="24"/>
          <w:szCs w:val="24"/>
        </w:rPr>
        <w:t xml:space="preserve"> </w:t>
      </w:r>
      <w:r w:rsidR="00743774" w:rsidRPr="00F44049">
        <w:rPr>
          <w:rFonts w:cs="Times New Roman"/>
          <w:sz w:val="24"/>
          <w:szCs w:val="24"/>
        </w:rPr>
        <w:t xml:space="preserve">Doing so </w:t>
      </w:r>
      <w:r w:rsidR="000667F8" w:rsidRPr="00F44049">
        <w:rPr>
          <w:rFonts w:cs="Times New Roman"/>
          <w:sz w:val="24"/>
          <w:szCs w:val="24"/>
        </w:rPr>
        <w:t>would be</w:t>
      </w:r>
      <w:r w:rsidR="00743774" w:rsidRPr="00F44049">
        <w:rPr>
          <w:rFonts w:cs="Times New Roman"/>
          <w:sz w:val="24"/>
          <w:szCs w:val="24"/>
        </w:rPr>
        <w:t xml:space="preserve"> a </w:t>
      </w:r>
      <w:r w:rsidR="006D15F3">
        <w:rPr>
          <w:rFonts w:cs="Times New Roman"/>
          <w:sz w:val="24"/>
          <w:szCs w:val="24"/>
        </w:rPr>
        <w:t xml:space="preserve">drastic measure in light of </w:t>
      </w:r>
      <w:r w:rsidR="000D39CE">
        <w:rPr>
          <w:rFonts w:cs="Times New Roman"/>
          <w:sz w:val="24"/>
          <w:szCs w:val="24"/>
        </w:rPr>
        <w:t xml:space="preserve">corporate boards' </w:t>
      </w:r>
      <w:r w:rsidR="00A71122" w:rsidRPr="00F44049">
        <w:rPr>
          <w:rFonts w:cs="Times New Roman"/>
          <w:sz w:val="24"/>
          <w:szCs w:val="24"/>
        </w:rPr>
        <w:t xml:space="preserve">otherwise </w:t>
      </w:r>
      <w:r w:rsidR="00044556">
        <w:rPr>
          <w:rFonts w:cs="Times New Roman"/>
          <w:sz w:val="24"/>
          <w:szCs w:val="24"/>
        </w:rPr>
        <w:t>"</w:t>
      </w:r>
      <w:r w:rsidR="00A71122" w:rsidRPr="00F44049">
        <w:rPr>
          <w:rFonts w:cs="Times New Roman"/>
          <w:sz w:val="24"/>
          <w:szCs w:val="24"/>
        </w:rPr>
        <w:t>capacious authority to pursue business advantage by a wide variety of means.</w:t>
      </w:r>
      <w:r w:rsidR="00044556">
        <w:rPr>
          <w:rFonts w:cs="Times New Roman"/>
          <w:sz w:val="24"/>
          <w:szCs w:val="24"/>
        </w:rPr>
        <w:t>"</w:t>
      </w:r>
      <w:r w:rsidR="00A71122" w:rsidRPr="009014AE">
        <w:rPr>
          <w:rStyle w:val="FootnoteReference"/>
          <w:rFonts w:cs="Times New Roman"/>
          <w:sz w:val="24"/>
          <w:szCs w:val="24"/>
        </w:rPr>
        <w:footnoteReference w:id="129"/>
      </w:r>
      <w:r w:rsidR="00A71122" w:rsidRPr="00F44049">
        <w:rPr>
          <w:rFonts w:cs="Times New Roman"/>
          <w:sz w:val="24"/>
          <w:szCs w:val="24"/>
        </w:rPr>
        <w:t xml:space="preserve">  </w:t>
      </w:r>
      <w:r w:rsidR="00DE35BA" w:rsidRPr="00F44049">
        <w:rPr>
          <w:rFonts w:cs="Times New Roman"/>
          <w:sz w:val="24"/>
          <w:szCs w:val="24"/>
        </w:rPr>
        <w:t xml:space="preserve">The more prudent approach </w:t>
      </w:r>
      <w:r w:rsidR="00E87616">
        <w:rPr>
          <w:rFonts w:cs="Times New Roman"/>
          <w:sz w:val="24"/>
          <w:szCs w:val="24"/>
        </w:rPr>
        <w:t>might</w:t>
      </w:r>
      <w:r w:rsidR="00BF4474" w:rsidRPr="00F44049">
        <w:rPr>
          <w:rFonts w:cs="Times New Roman"/>
          <w:sz w:val="24"/>
          <w:szCs w:val="24"/>
        </w:rPr>
        <w:t xml:space="preserve"> be</w:t>
      </w:r>
      <w:r w:rsidR="00DE35BA" w:rsidRPr="00F44049">
        <w:rPr>
          <w:rFonts w:cs="Times New Roman"/>
          <w:sz w:val="24"/>
          <w:szCs w:val="24"/>
        </w:rPr>
        <w:t xml:space="preserve"> to</w:t>
      </w:r>
      <w:r w:rsidR="0003553F" w:rsidRPr="00F44049">
        <w:rPr>
          <w:rFonts w:cs="Times New Roman"/>
          <w:sz w:val="24"/>
          <w:szCs w:val="24"/>
        </w:rPr>
        <w:t xml:space="preserve"> allow this issue to</w:t>
      </w:r>
      <w:r w:rsidR="000E3ECB" w:rsidRPr="00F44049">
        <w:rPr>
          <w:rFonts w:cs="Times New Roman"/>
          <w:sz w:val="24"/>
          <w:szCs w:val="24"/>
        </w:rPr>
        <w:t xml:space="preserve"> be addressed by </w:t>
      </w:r>
      <w:r w:rsidR="00B96330" w:rsidRPr="00F44049">
        <w:rPr>
          <w:rFonts w:cs="Times New Roman"/>
          <w:sz w:val="24"/>
          <w:szCs w:val="24"/>
        </w:rPr>
        <w:t>Delaware courts</w:t>
      </w:r>
      <w:r w:rsidR="000E3ECB" w:rsidRPr="00F44049">
        <w:rPr>
          <w:rFonts w:cs="Times New Roman"/>
          <w:sz w:val="24"/>
          <w:szCs w:val="24"/>
        </w:rPr>
        <w:t xml:space="preserve"> in</w:t>
      </w:r>
      <w:r w:rsidR="0003553F" w:rsidRPr="00F44049">
        <w:rPr>
          <w:rFonts w:cs="Times New Roman"/>
          <w:sz w:val="24"/>
          <w:szCs w:val="24"/>
        </w:rPr>
        <w:t xml:space="preserve"> fact-specific situation</w:t>
      </w:r>
      <w:r w:rsidR="006D069C">
        <w:rPr>
          <w:rFonts w:cs="Times New Roman"/>
          <w:sz w:val="24"/>
          <w:szCs w:val="24"/>
        </w:rPr>
        <w:t>s</w:t>
      </w:r>
      <w:r w:rsidR="000E3ECB" w:rsidRPr="00F44049">
        <w:rPr>
          <w:rFonts w:cs="Times New Roman"/>
          <w:sz w:val="24"/>
          <w:szCs w:val="24"/>
        </w:rPr>
        <w:t xml:space="preserve"> as they arise, thereby developing a body of case law </w:t>
      </w:r>
      <w:r w:rsidR="00C637E9" w:rsidRPr="00F44049">
        <w:rPr>
          <w:rFonts w:cs="Times New Roman"/>
          <w:sz w:val="24"/>
          <w:szCs w:val="24"/>
        </w:rPr>
        <w:t xml:space="preserve">to address this problem </w:t>
      </w:r>
      <w:r w:rsidR="000E3ECB" w:rsidRPr="00F44049">
        <w:rPr>
          <w:rFonts w:cs="Times New Roman"/>
          <w:sz w:val="24"/>
          <w:szCs w:val="24"/>
        </w:rPr>
        <w:t xml:space="preserve">as </w:t>
      </w:r>
      <w:r w:rsidR="005C0D16">
        <w:rPr>
          <w:rFonts w:cs="Times New Roman"/>
          <w:sz w:val="24"/>
          <w:szCs w:val="24"/>
        </w:rPr>
        <w:t>Delaware</w:t>
      </w:r>
      <w:r w:rsidR="006D5872">
        <w:rPr>
          <w:rFonts w:cs="Times New Roman"/>
          <w:sz w:val="24"/>
          <w:szCs w:val="24"/>
        </w:rPr>
        <w:t xml:space="preserve"> courts</w:t>
      </w:r>
      <w:r w:rsidR="00C637E9" w:rsidRPr="00F44049">
        <w:rPr>
          <w:rFonts w:cs="Times New Roman"/>
          <w:sz w:val="24"/>
          <w:szCs w:val="24"/>
        </w:rPr>
        <w:t xml:space="preserve"> have </w:t>
      </w:r>
      <w:r w:rsidR="008D7DE8">
        <w:rPr>
          <w:rFonts w:cs="Times New Roman"/>
          <w:sz w:val="24"/>
          <w:szCs w:val="24"/>
        </w:rPr>
        <w:t>done</w:t>
      </w:r>
      <w:r w:rsidR="007063EF">
        <w:rPr>
          <w:rFonts w:cs="Times New Roman"/>
          <w:sz w:val="24"/>
          <w:szCs w:val="24"/>
        </w:rPr>
        <w:t xml:space="preserve"> </w:t>
      </w:r>
      <w:r w:rsidR="007703A8" w:rsidRPr="00F44049">
        <w:rPr>
          <w:rFonts w:cs="Times New Roman"/>
          <w:sz w:val="24"/>
          <w:szCs w:val="24"/>
        </w:rPr>
        <w:t>in other areas.</w:t>
      </w:r>
    </w:p>
    <w:p w14:paraId="32DB554C" w14:textId="525E7E32" w:rsidR="00915DC5" w:rsidRPr="002119B0" w:rsidRDefault="00915DC5" w:rsidP="00316553">
      <w:pPr>
        <w:widowControl w:val="0"/>
        <w:spacing w:line="480" w:lineRule="auto"/>
        <w:ind w:firstLine="720"/>
        <w:jc w:val="both"/>
        <w:rPr>
          <w:rFonts w:cs="Times New Roman"/>
          <w:sz w:val="24"/>
          <w:szCs w:val="24"/>
        </w:rPr>
      </w:pPr>
      <w:r>
        <w:rPr>
          <w:rFonts w:cs="Times New Roman"/>
          <w:sz w:val="24"/>
          <w:szCs w:val="24"/>
        </w:rPr>
        <w:t xml:space="preserve">In an article discussing </w:t>
      </w:r>
      <w:r>
        <w:rPr>
          <w:rFonts w:cs="Times New Roman"/>
          <w:i/>
          <w:sz w:val="24"/>
          <w:szCs w:val="24"/>
        </w:rPr>
        <w:t>Schnell v. Chris Craft</w:t>
      </w:r>
      <w:r>
        <w:rPr>
          <w:rFonts w:cs="Times New Roman"/>
          <w:sz w:val="24"/>
          <w:szCs w:val="24"/>
        </w:rPr>
        <w:t>, Chief Justice Leo Strine explained the difference between legal and equitable conduct on the part of corporate fiduciaries.</w:t>
      </w:r>
      <w:r>
        <w:rPr>
          <w:rStyle w:val="FootnoteReference"/>
          <w:rFonts w:cs="Times New Roman"/>
          <w:sz w:val="24"/>
          <w:szCs w:val="24"/>
        </w:rPr>
        <w:footnoteReference w:id="130"/>
      </w:r>
      <w:r>
        <w:rPr>
          <w:rFonts w:cs="Times New Roman"/>
          <w:sz w:val="24"/>
          <w:szCs w:val="24"/>
        </w:rPr>
        <w:t xml:space="preserve">  </w:t>
      </w:r>
      <w:r w:rsidR="00976E46">
        <w:rPr>
          <w:rFonts w:cs="Times New Roman"/>
          <w:sz w:val="24"/>
          <w:szCs w:val="24"/>
        </w:rPr>
        <w:t>A</w:t>
      </w:r>
      <w:r>
        <w:rPr>
          <w:rFonts w:cs="Times New Roman"/>
          <w:sz w:val="24"/>
          <w:szCs w:val="24"/>
        </w:rPr>
        <w:t xml:space="preserve"> court considering the enforceability of a fee-shifting bylaw would first </w:t>
      </w:r>
      <w:r w:rsidR="00C85CB2">
        <w:rPr>
          <w:rFonts w:cs="Times New Roman"/>
          <w:sz w:val="24"/>
          <w:szCs w:val="24"/>
        </w:rPr>
        <w:t xml:space="preserve">determine </w:t>
      </w:r>
      <w:r>
        <w:rPr>
          <w:rFonts w:cs="Times New Roman"/>
          <w:sz w:val="24"/>
          <w:szCs w:val="24"/>
        </w:rPr>
        <w:t>whether the bylaw is lawful and then whether it is equitable.</w:t>
      </w:r>
      <w:r>
        <w:rPr>
          <w:rStyle w:val="FootnoteReference"/>
          <w:rFonts w:cs="Times New Roman"/>
          <w:sz w:val="24"/>
          <w:szCs w:val="24"/>
        </w:rPr>
        <w:footnoteReference w:id="131"/>
      </w:r>
      <w:r>
        <w:rPr>
          <w:rFonts w:cs="Times New Roman"/>
          <w:sz w:val="24"/>
          <w:szCs w:val="24"/>
        </w:rPr>
        <w:t xml:space="preserve">  </w:t>
      </w:r>
      <w:r w:rsidR="00242A6B">
        <w:rPr>
          <w:rFonts w:cs="Times New Roman"/>
          <w:sz w:val="24"/>
          <w:szCs w:val="24"/>
        </w:rPr>
        <w:t xml:space="preserve">However, </w:t>
      </w:r>
      <w:r>
        <w:rPr>
          <w:rFonts w:cs="Times New Roman"/>
          <w:sz w:val="24"/>
          <w:szCs w:val="24"/>
        </w:rPr>
        <w:t>Delaware courts are limited from taking broad action</w:t>
      </w:r>
      <w:r w:rsidR="00B5748E">
        <w:rPr>
          <w:rFonts w:cs="Times New Roman"/>
          <w:sz w:val="24"/>
          <w:szCs w:val="24"/>
        </w:rPr>
        <w:t xml:space="preserve"> against a board</w:t>
      </w:r>
      <w:r>
        <w:rPr>
          <w:rFonts w:cs="Times New Roman"/>
          <w:sz w:val="24"/>
          <w:szCs w:val="24"/>
        </w:rPr>
        <w:t xml:space="preserve"> in several ways: the business judgment rule, respect for the legislature's prerogative in setting policy, and respect for precedent.</w:t>
      </w:r>
      <w:r>
        <w:rPr>
          <w:rStyle w:val="FootnoteReference"/>
          <w:rFonts w:cs="Times New Roman"/>
          <w:sz w:val="24"/>
          <w:szCs w:val="24"/>
        </w:rPr>
        <w:footnoteReference w:id="132"/>
      </w:r>
      <w:r>
        <w:rPr>
          <w:rFonts w:cs="Times New Roman"/>
          <w:sz w:val="24"/>
          <w:szCs w:val="24"/>
        </w:rPr>
        <w:t xml:space="preserve">  Therefore, it </w:t>
      </w:r>
      <w:r w:rsidR="004B6D1A">
        <w:rPr>
          <w:rFonts w:cs="Times New Roman"/>
          <w:sz w:val="24"/>
          <w:szCs w:val="24"/>
        </w:rPr>
        <w:t>seems</w:t>
      </w:r>
      <w:r>
        <w:rPr>
          <w:rFonts w:cs="Times New Roman"/>
          <w:sz w:val="24"/>
          <w:szCs w:val="24"/>
        </w:rPr>
        <w:t xml:space="preserve"> unlikely that a Delaware court would make a sweeping </w:t>
      </w:r>
      <w:r w:rsidR="0062675B">
        <w:rPr>
          <w:rFonts w:cs="Times New Roman"/>
          <w:sz w:val="24"/>
          <w:szCs w:val="24"/>
        </w:rPr>
        <w:t>rule invalidating</w:t>
      </w:r>
      <w:r>
        <w:rPr>
          <w:rFonts w:cs="Times New Roman"/>
          <w:sz w:val="24"/>
          <w:szCs w:val="24"/>
        </w:rPr>
        <w:t xml:space="preserve"> all fee-shifting bylaws as inequitable.</w:t>
      </w:r>
      <w:r>
        <w:rPr>
          <w:rStyle w:val="FootnoteReference"/>
          <w:rFonts w:cs="Times New Roman"/>
          <w:sz w:val="24"/>
          <w:szCs w:val="24"/>
        </w:rPr>
        <w:footnoteReference w:id="133"/>
      </w:r>
    </w:p>
    <w:p w14:paraId="7633D42E" w14:textId="3D53248C" w:rsidR="00F609B8" w:rsidRDefault="005E306A" w:rsidP="00316553">
      <w:pPr>
        <w:widowControl w:val="0"/>
        <w:spacing w:line="480" w:lineRule="auto"/>
        <w:ind w:firstLine="720"/>
        <w:jc w:val="both"/>
        <w:rPr>
          <w:rFonts w:cs="Times New Roman"/>
          <w:sz w:val="24"/>
          <w:szCs w:val="24"/>
        </w:rPr>
      </w:pPr>
      <w:r w:rsidRPr="009014AE">
        <w:rPr>
          <w:rFonts w:cs="Times New Roman"/>
          <w:sz w:val="24"/>
          <w:szCs w:val="24"/>
        </w:rPr>
        <w:t>Because enforcement of fee-shifting bylaws requires an affirm</w:t>
      </w:r>
      <w:r w:rsidR="00FE7256" w:rsidRPr="009014AE">
        <w:rPr>
          <w:rFonts w:cs="Times New Roman"/>
          <w:sz w:val="24"/>
          <w:szCs w:val="24"/>
        </w:rPr>
        <w:t>ative act of the corporation (namely, a motion for attorney's fees), the provisi</w:t>
      </w:r>
      <w:r w:rsidR="008F134F" w:rsidRPr="009014AE">
        <w:rPr>
          <w:rFonts w:cs="Times New Roman"/>
          <w:sz w:val="24"/>
          <w:szCs w:val="24"/>
        </w:rPr>
        <w:t xml:space="preserve">on will inevitably be subject to judicial review before </w:t>
      </w:r>
      <w:r w:rsidR="002330AF" w:rsidRPr="009014AE">
        <w:rPr>
          <w:rFonts w:cs="Times New Roman"/>
          <w:sz w:val="24"/>
          <w:szCs w:val="24"/>
        </w:rPr>
        <w:t xml:space="preserve">any </w:t>
      </w:r>
      <w:r w:rsidR="00583952" w:rsidRPr="009014AE">
        <w:rPr>
          <w:rFonts w:cs="Times New Roman"/>
          <w:sz w:val="24"/>
          <w:szCs w:val="24"/>
        </w:rPr>
        <w:t>liability for expenses is imposed.</w:t>
      </w:r>
      <w:r w:rsidR="006977DB" w:rsidRPr="009014AE">
        <w:rPr>
          <w:rStyle w:val="FootnoteReference"/>
          <w:rFonts w:cs="Times New Roman"/>
          <w:sz w:val="24"/>
          <w:szCs w:val="24"/>
        </w:rPr>
        <w:footnoteReference w:id="134"/>
      </w:r>
      <w:r w:rsidR="00EF223F">
        <w:rPr>
          <w:rFonts w:cs="Times New Roman"/>
          <w:sz w:val="24"/>
          <w:szCs w:val="24"/>
        </w:rPr>
        <w:t xml:space="preserve">  Because </w:t>
      </w:r>
      <w:r w:rsidR="00EF223F" w:rsidRPr="009014AE">
        <w:rPr>
          <w:rFonts w:cs="Times New Roman"/>
          <w:sz w:val="24"/>
          <w:szCs w:val="24"/>
        </w:rPr>
        <w:t xml:space="preserve">Delaware courts have </w:t>
      </w:r>
      <w:r w:rsidR="00976E46">
        <w:rPr>
          <w:rFonts w:cs="Times New Roman"/>
          <w:sz w:val="24"/>
          <w:szCs w:val="24"/>
        </w:rPr>
        <w:t>experience limiting</w:t>
      </w:r>
      <w:r w:rsidR="00EF223F" w:rsidRPr="009014AE">
        <w:rPr>
          <w:rFonts w:cs="Times New Roman"/>
          <w:sz w:val="24"/>
          <w:szCs w:val="24"/>
        </w:rPr>
        <w:t xml:space="preserve"> corporate managers from acting unfairly to the detriment of stockholders</w:t>
      </w:r>
      <w:r w:rsidR="00EF223F">
        <w:rPr>
          <w:rFonts w:cs="Times New Roman"/>
          <w:sz w:val="24"/>
          <w:szCs w:val="24"/>
        </w:rPr>
        <w:t>,</w:t>
      </w:r>
      <w:r w:rsidR="00EF223F" w:rsidRPr="009014AE">
        <w:rPr>
          <w:rStyle w:val="FootnoteReference"/>
          <w:rFonts w:cs="Times New Roman"/>
          <w:sz w:val="24"/>
          <w:szCs w:val="24"/>
        </w:rPr>
        <w:footnoteReference w:id="135"/>
      </w:r>
      <w:r w:rsidR="00EF223F" w:rsidRPr="009014AE">
        <w:rPr>
          <w:rFonts w:cs="Times New Roman"/>
          <w:sz w:val="24"/>
          <w:szCs w:val="24"/>
        </w:rPr>
        <w:t xml:space="preserve"> </w:t>
      </w:r>
      <w:r w:rsidR="00EF223F">
        <w:rPr>
          <w:rFonts w:cs="Times New Roman"/>
          <w:sz w:val="24"/>
          <w:szCs w:val="24"/>
        </w:rPr>
        <w:t xml:space="preserve">there is reason to believe that a court would not </w:t>
      </w:r>
      <w:r w:rsidR="00351388">
        <w:rPr>
          <w:rFonts w:cs="Times New Roman"/>
          <w:sz w:val="24"/>
          <w:szCs w:val="24"/>
        </w:rPr>
        <w:t xml:space="preserve">grant a motion </w:t>
      </w:r>
      <w:r w:rsidR="00FB3CCB">
        <w:rPr>
          <w:rFonts w:cs="Times New Roman"/>
          <w:sz w:val="24"/>
          <w:szCs w:val="24"/>
        </w:rPr>
        <w:t xml:space="preserve">to award attorney's fees </w:t>
      </w:r>
      <w:r w:rsidR="00351388">
        <w:rPr>
          <w:rFonts w:cs="Times New Roman"/>
          <w:sz w:val="24"/>
          <w:szCs w:val="24"/>
        </w:rPr>
        <w:t xml:space="preserve">in unfair circumstances.  However, the question remains: what board action would be sufficiently inequitable that a court would refuse to </w:t>
      </w:r>
      <w:r w:rsidR="008E436B">
        <w:rPr>
          <w:rFonts w:cs="Times New Roman"/>
          <w:sz w:val="24"/>
          <w:szCs w:val="24"/>
        </w:rPr>
        <w:t>shift the corporation's legal fees onto a shareholder plaintiff?</w:t>
      </w:r>
    </w:p>
    <w:p w14:paraId="30F3E641" w14:textId="535FE744" w:rsidR="004961A5" w:rsidRDefault="0089506D" w:rsidP="00316553">
      <w:pPr>
        <w:widowControl w:val="0"/>
        <w:spacing w:line="480" w:lineRule="auto"/>
        <w:ind w:firstLine="720"/>
        <w:jc w:val="both"/>
        <w:rPr>
          <w:rFonts w:cs="Times New Roman"/>
          <w:sz w:val="24"/>
          <w:szCs w:val="24"/>
        </w:rPr>
      </w:pPr>
      <w:r>
        <w:rPr>
          <w:rFonts w:cs="Times New Roman"/>
          <w:sz w:val="24"/>
          <w:szCs w:val="24"/>
        </w:rPr>
        <w:t xml:space="preserve">The Court in </w:t>
      </w:r>
      <w:r>
        <w:rPr>
          <w:rFonts w:cs="Times New Roman"/>
          <w:i/>
          <w:sz w:val="24"/>
          <w:szCs w:val="24"/>
        </w:rPr>
        <w:t>ATP Tour</w:t>
      </w:r>
      <w:r>
        <w:rPr>
          <w:rFonts w:cs="Times New Roman"/>
          <w:sz w:val="24"/>
          <w:szCs w:val="24"/>
        </w:rPr>
        <w:t xml:space="preserve"> offered some guidance </w:t>
      </w:r>
      <w:r w:rsidR="00E90AAB">
        <w:rPr>
          <w:rFonts w:cs="Times New Roman"/>
          <w:sz w:val="24"/>
          <w:szCs w:val="24"/>
        </w:rPr>
        <w:t>on this point</w:t>
      </w:r>
      <w:r>
        <w:rPr>
          <w:rFonts w:cs="Times New Roman"/>
          <w:sz w:val="24"/>
          <w:szCs w:val="24"/>
        </w:rPr>
        <w:t>.</w:t>
      </w:r>
      <w:r w:rsidR="00B337DE">
        <w:rPr>
          <w:rStyle w:val="FootnoteReference"/>
          <w:rFonts w:cs="Times New Roman"/>
          <w:sz w:val="24"/>
          <w:szCs w:val="24"/>
        </w:rPr>
        <w:footnoteReference w:id="136"/>
      </w:r>
      <w:r>
        <w:rPr>
          <w:rFonts w:cs="Times New Roman"/>
          <w:sz w:val="24"/>
          <w:szCs w:val="24"/>
        </w:rPr>
        <w:t xml:space="preserve">  </w:t>
      </w:r>
      <w:r w:rsidR="00C03B82">
        <w:rPr>
          <w:rFonts w:cs="Times New Roman"/>
          <w:sz w:val="24"/>
          <w:szCs w:val="24"/>
        </w:rPr>
        <w:t xml:space="preserve">Enforceability </w:t>
      </w:r>
      <w:r w:rsidR="00044556">
        <w:rPr>
          <w:rFonts w:cs="Times New Roman"/>
          <w:sz w:val="24"/>
          <w:szCs w:val="24"/>
        </w:rPr>
        <w:t>"</w:t>
      </w:r>
      <w:r w:rsidR="00C03B82" w:rsidRPr="00C03B82">
        <w:rPr>
          <w:rFonts w:cs="Times New Roman"/>
          <w:sz w:val="24"/>
          <w:szCs w:val="24"/>
        </w:rPr>
        <w:t>depends</w:t>
      </w:r>
      <w:r w:rsidR="00C03B82">
        <w:rPr>
          <w:rFonts w:cs="Times New Roman"/>
          <w:sz w:val="24"/>
          <w:szCs w:val="24"/>
        </w:rPr>
        <w:t xml:space="preserve"> </w:t>
      </w:r>
      <w:r w:rsidR="00C03B82" w:rsidRPr="00C03B82">
        <w:rPr>
          <w:rFonts w:cs="Times New Roman"/>
          <w:sz w:val="24"/>
          <w:szCs w:val="24"/>
        </w:rPr>
        <w:t xml:space="preserve">on the manner in which </w:t>
      </w:r>
      <w:r w:rsidR="00C03B82">
        <w:rPr>
          <w:rFonts w:cs="Times New Roman"/>
          <w:sz w:val="24"/>
          <w:szCs w:val="24"/>
        </w:rPr>
        <w:t>[the bylaw]</w:t>
      </w:r>
      <w:r w:rsidR="00C03B82" w:rsidRPr="00C03B82">
        <w:rPr>
          <w:rFonts w:cs="Times New Roman"/>
          <w:sz w:val="24"/>
          <w:szCs w:val="24"/>
        </w:rPr>
        <w:t xml:space="preserve"> was adopted and</w:t>
      </w:r>
      <w:r w:rsidR="00C03B82">
        <w:rPr>
          <w:rFonts w:cs="Times New Roman"/>
          <w:sz w:val="24"/>
          <w:szCs w:val="24"/>
        </w:rPr>
        <w:t xml:space="preserve"> </w:t>
      </w:r>
      <w:r w:rsidR="00C03B82" w:rsidRPr="00C03B82">
        <w:rPr>
          <w:rFonts w:cs="Times New Roman"/>
          <w:sz w:val="24"/>
          <w:szCs w:val="24"/>
        </w:rPr>
        <w:t>the circumstances under which it was invoked.</w:t>
      </w:r>
      <w:r w:rsidR="00006DB2">
        <w:rPr>
          <w:rFonts w:cs="Times New Roman"/>
          <w:sz w:val="24"/>
          <w:szCs w:val="24"/>
        </w:rPr>
        <w:t xml:space="preserve">  </w:t>
      </w:r>
      <w:r w:rsidR="00006DB2" w:rsidRPr="00006DB2">
        <w:rPr>
          <w:rFonts w:cs="Times New Roman"/>
          <w:sz w:val="24"/>
          <w:szCs w:val="24"/>
        </w:rPr>
        <w:t>Bylaws that may otherwise be facially</w:t>
      </w:r>
      <w:r w:rsidR="00006DB2">
        <w:rPr>
          <w:rFonts w:cs="Times New Roman"/>
          <w:sz w:val="24"/>
          <w:szCs w:val="24"/>
        </w:rPr>
        <w:t xml:space="preserve"> </w:t>
      </w:r>
      <w:r w:rsidR="00006DB2" w:rsidRPr="00006DB2">
        <w:rPr>
          <w:rFonts w:cs="Times New Roman"/>
          <w:sz w:val="24"/>
          <w:szCs w:val="24"/>
        </w:rPr>
        <w:t>valid will not be enforced if adopted</w:t>
      </w:r>
      <w:r w:rsidR="00006DB2">
        <w:rPr>
          <w:rFonts w:cs="Times New Roman"/>
          <w:sz w:val="24"/>
          <w:szCs w:val="24"/>
        </w:rPr>
        <w:t xml:space="preserve"> </w:t>
      </w:r>
      <w:r w:rsidR="00006DB2" w:rsidRPr="00006DB2">
        <w:rPr>
          <w:rFonts w:cs="Times New Roman"/>
          <w:sz w:val="24"/>
          <w:szCs w:val="24"/>
        </w:rPr>
        <w:t>or used for an inequitable purpose</w:t>
      </w:r>
      <w:r w:rsidR="00006DB2">
        <w:rPr>
          <w:rFonts w:cs="Times New Roman"/>
          <w:sz w:val="24"/>
          <w:szCs w:val="24"/>
        </w:rPr>
        <w:t>.</w:t>
      </w:r>
      <w:r w:rsidR="00044556">
        <w:rPr>
          <w:rFonts w:cs="Times New Roman"/>
          <w:sz w:val="24"/>
          <w:szCs w:val="24"/>
        </w:rPr>
        <w:t>"</w:t>
      </w:r>
      <w:r w:rsidR="0013118D">
        <w:rPr>
          <w:rStyle w:val="FootnoteReference"/>
          <w:rFonts w:cs="Times New Roman"/>
          <w:sz w:val="24"/>
          <w:szCs w:val="24"/>
        </w:rPr>
        <w:footnoteReference w:id="137"/>
      </w:r>
      <w:r w:rsidR="00F93E53">
        <w:rPr>
          <w:rFonts w:cs="Times New Roman"/>
          <w:sz w:val="24"/>
          <w:szCs w:val="24"/>
        </w:rPr>
        <w:t xml:space="preserve">  </w:t>
      </w:r>
      <w:r w:rsidR="00006DB2">
        <w:rPr>
          <w:rFonts w:cs="Times New Roman"/>
          <w:sz w:val="24"/>
          <w:szCs w:val="24"/>
        </w:rPr>
        <w:t xml:space="preserve">To illustrate, </w:t>
      </w:r>
      <w:r w:rsidR="000E4DAD">
        <w:rPr>
          <w:rFonts w:cs="Times New Roman"/>
          <w:sz w:val="24"/>
          <w:szCs w:val="24"/>
        </w:rPr>
        <w:t>the</w:t>
      </w:r>
      <w:r w:rsidR="00006DB2">
        <w:rPr>
          <w:rFonts w:cs="Times New Roman"/>
          <w:sz w:val="24"/>
          <w:szCs w:val="24"/>
        </w:rPr>
        <w:t xml:space="preserve"> Court discussed </w:t>
      </w:r>
      <w:r w:rsidR="00D728C6">
        <w:rPr>
          <w:rFonts w:cs="Times New Roman"/>
          <w:sz w:val="24"/>
          <w:szCs w:val="24"/>
        </w:rPr>
        <w:t xml:space="preserve">several cases that </w:t>
      </w:r>
      <w:r w:rsidR="00221181">
        <w:rPr>
          <w:rFonts w:cs="Times New Roman"/>
          <w:sz w:val="24"/>
          <w:szCs w:val="24"/>
        </w:rPr>
        <w:t>set forth parameters on bylaw enforceability.</w:t>
      </w:r>
      <w:r w:rsidR="00221181">
        <w:rPr>
          <w:rStyle w:val="FootnoteReference"/>
          <w:rFonts w:cs="Times New Roman"/>
          <w:sz w:val="24"/>
          <w:szCs w:val="24"/>
        </w:rPr>
        <w:footnoteReference w:id="138"/>
      </w:r>
      <w:r w:rsidR="00221181">
        <w:rPr>
          <w:rFonts w:cs="Times New Roman"/>
          <w:sz w:val="24"/>
          <w:szCs w:val="24"/>
        </w:rPr>
        <w:t xml:space="preserve">  </w:t>
      </w:r>
      <w:r w:rsidR="00120B9E">
        <w:rPr>
          <w:rFonts w:cs="Times New Roman"/>
          <w:sz w:val="24"/>
          <w:szCs w:val="24"/>
        </w:rPr>
        <w:t>For example,</w:t>
      </w:r>
      <w:r w:rsidR="00EA4533">
        <w:rPr>
          <w:rFonts w:cs="Times New Roman"/>
          <w:sz w:val="24"/>
          <w:szCs w:val="24"/>
        </w:rPr>
        <w:t xml:space="preserve"> in </w:t>
      </w:r>
      <w:r w:rsidR="00EA4533" w:rsidRPr="00EA4533">
        <w:rPr>
          <w:rFonts w:cs="Times New Roman"/>
          <w:i/>
          <w:sz w:val="24"/>
          <w:szCs w:val="24"/>
        </w:rPr>
        <w:t>Hollinger Intern</w:t>
      </w:r>
      <w:r w:rsidR="00E256B2">
        <w:rPr>
          <w:rFonts w:cs="Times New Roman"/>
          <w:i/>
          <w:sz w:val="24"/>
          <w:szCs w:val="24"/>
        </w:rPr>
        <w:t>ational</w:t>
      </w:r>
      <w:r w:rsidR="00EA4533" w:rsidRPr="00EA4533">
        <w:rPr>
          <w:rFonts w:cs="Times New Roman"/>
          <w:i/>
          <w:sz w:val="24"/>
          <w:szCs w:val="24"/>
        </w:rPr>
        <w:t>, Inc. v. Black</w:t>
      </w:r>
      <w:r w:rsidR="00EA4533">
        <w:rPr>
          <w:rFonts w:cs="Times New Roman"/>
          <w:sz w:val="24"/>
          <w:szCs w:val="24"/>
        </w:rPr>
        <w:t>,</w:t>
      </w:r>
      <w:r w:rsidR="00120B9E">
        <w:rPr>
          <w:rFonts w:cs="Times New Roman"/>
          <w:sz w:val="24"/>
          <w:szCs w:val="24"/>
        </w:rPr>
        <w:t xml:space="preserve"> bylaws passed by a majority shareholder </w:t>
      </w:r>
      <w:r w:rsidR="00044556">
        <w:rPr>
          <w:rFonts w:cs="Times New Roman"/>
          <w:sz w:val="24"/>
          <w:szCs w:val="24"/>
        </w:rPr>
        <w:t>"</w:t>
      </w:r>
      <w:r w:rsidR="00120B9E" w:rsidRPr="00120B9E">
        <w:rPr>
          <w:rFonts w:cs="Times New Roman"/>
          <w:sz w:val="24"/>
          <w:szCs w:val="24"/>
        </w:rPr>
        <w:t>were clearly</w:t>
      </w:r>
      <w:r w:rsidR="00120B9E">
        <w:rPr>
          <w:rFonts w:cs="Times New Roman"/>
          <w:sz w:val="24"/>
          <w:szCs w:val="24"/>
        </w:rPr>
        <w:t xml:space="preserve"> </w:t>
      </w:r>
      <w:r w:rsidR="00120B9E" w:rsidRPr="00120B9E">
        <w:rPr>
          <w:rFonts w:cs="Times New Roman"/>
          <w:sz w:val="24"/>
          <w:szCs w:val="24"/>
        </w:rPr>
        <w:t>adopted for an inequitable purpose and</w:t>
      </w:r>
      <w:r w:rsidR="00120B9E">
        <w:rPr>
          <w:rFonts w:cs="Times New Roman"/>
          <w:sz w:val="24"/>
          <w:szCs w:val="24"/>
        </w:rPr>
        <w:t xml:space="preserve"> </w:t>
      </w:r>
      <w:r w:rsidR="00120B9E" w:rsidRPr="00120B9E">
        <w:rPr>
          <w:rFonts w:cs="Times New Roman"/>
          <w:sz w:val="24"/>
          <w:szCs w:val="24"/>
        </w:rPr>
        <w:t>have an inequitable effect</w:t>
      </w:r>
      <w:r w:rsidR="00044556">
        <w:rPr>
          <w:rFonts w:cs="Times New Roman"/>
          <w:sz w:val="24"/>
          <w:szCs w:val="24"/>
        </w:rPr>
        <w:t>"</w:t>
      </w:r>
      <w:r w:rsidR="00120B9E">
        <w:rPr>
          <w:rStyle w:val="FootnoteReference"/>
          <w:rFonts w:cs="Times New Roman"/>
          <w:sz w:val="24"/>
          <w:szCs w:val="24"/>
        </w:rPr>
        <w:footnoteReference w:id="139"/>
      </w:r>
      <w:r w:rsidR="00120B9E">
        <w:rPr>
          <w:rFonts w:cs="Times New Roman"/>
          <w:sz w:val="24"/>
          <w:szCs w:val="24"/>
        </w:rPr>
        <w:t xml:space="preserve"> where they </w:t>
      </w:r>
      <w:r w:rsidR="00044556">
        <w:rPr>
          <w:rFonts w:cs="Times New Roman"/>
          <w:sz w:val="24"/>
          <w:szCs w:val="24"/>
        </w:rPr>
        <w:t>"</w:t>
      </w:r>
      <w:r w:rsidR="00120B9E">
        <w:rPr>
          <w:rFonts w:cs="Times New Roman"/>
          <w:sz w:val="24"/>
          <w:szCs w:val="24"/>
        </w:rPr>
        <w:t>complete[d] a course of contractual and fiduciary improprieties.</w:t>
      </w:r>
      <w:r w:rsidR="00044556">
        <w:rPr>
          <w:rFonts w:cs="Times New Roman"/>
          <w:sz w:val="24"/>
          <w:szCs w:val="24"/>
        </w:rPr>
        <w:t>"</w:t>
      </w:r>
      <w:r w:rsidR="00120B9E">
        <w:rPr>
          <w:rStyle w:val="FootnoteReference"/>
          <w:rFonts w:cs="Times New Roman"/>
          <w:sz w:val="24"/>
          <w:szCs w:val="24"/>
        </w:rPr>
        <w:footnoteReference w:id="140"/>
      </w:r>
      <w:r w:rsidR="00196B72">
        <w:rPr>
          <w:rFonts w:cs="Times New Roman"/>
          <w:sz w:val="24"/>
          <w:szCs w:val="24"/>
        </w:rPr>
        <w:t xml:space="preserve">  </w:t>
      </w:r>
      <w:r w:rsidR="00AF200D">
        <w:rPr>
          <w:rFonts w:cs="Times New Roman"/>
          <w:sz w:val="24"/>
          <w:szCs w:val="24"/>
        </w:rPr>
        <w:t>I</w:t>
      </w:r>
      <w:r w:rsidR="00A27240">
        <w:rPr>
          <w:rFonts w:cs="Times New Roman"/>
          <w:sz w:val="24"/>
          <w:szCs w:val="24"/>
        </w:rPr>
        <w:t xml:space="preserve">n </w:t>
      </w:r>
      <w:r w:rsidR="00A27240">
        <w:rPr>
          <w:rFonts w:cs="Times New Roman"/>
          <w:i/>
          <w:sz w:val="24"/>
          <w:szCs w:val="24"/>
        </w:rPr>
        <w:t>Schnell v. Chris-Craft Industries</w:t>
      </w:r>
      <w:r w:rsidR="00A27240">
        <w:rPr>
          <w:rFonts w:cs="Times New Roman"/>
          <w:sz w:val="24"/>
          <w:szCs w:val="24"/>
        </w:rPr>
        <w:t xml:space="preserve">, </w:t>
      </w:r>
      <w:r w:rsidR="00ED5905">
        <w:rPr>
          <w:rFonts w:cs="Times New Roman"/>
          <w:sz w:val="24"/>
          <w:szCs w:val="24"/>
        </w:rPr>
        <w:t xml:space="preserve">the Supreme Court invalidated a board-adopted bylaw amendment that the board passed to </w:t>
      </w:r>
      <w:r w:rsidR="00044556">
        <w:rPr>
          <w:rFonts w:cs="Times New Roman"/>
          <w:sz w:val="24"/>
          <w:szCs w:val="24"/>
        </w:rPr>
        <w:t>"</w:t>
      </w:r>
      <w:r w:rsidR="00ED5905">
        <w:rPr>
          <w:rFonts w:cs="Times New Roman"/>
          <w:sz w:val="24"/>
          <w:szCs w:val="24"/>
        </w:rPr>
        <w:t>'</w:t>
      </w:r>
      <w:r w:rsidR="00ED5905" w:rsidRPr="00ED5905">
        <w:rPr>
          <w:rFonts w:cs="Times New Roman"/>
          <w:sz w:val="24"/>
          <w:szCs w:val="24"/>
        </w:rPr>
        <w:t>perpe</w:t>
      </w:r>
      <w:r w:rsidR="00ED5905">
        <w:rPr>
          <w:rFonts w:cs="Times New Roman"/>
          <w:sz w:val="24"/>
          <w:szCs w:val="24"/>
        </w:rPr>
        <w:t>tuat[e] itself in office' and to '</w:t>
      </w:r>
      <w:r w:rsidR="00ED5905" w:rsidRPr="00ED5905">
        <w:rPr>
          <w:rFonts w:cs="Times New Roman"/>
          <w:sz w:val="24"/>
          <w:szCs w:val="24"/>
        </w:rPr>
        <w:t>obstruct[] the legitimate efforts of dissident</w:t>
      </w:r>
      <w:r w:rsidR="00ED5905">
        <w:rPr>
          <w:rFonts w:cs="Times New Roman"/>
          <w:sz w:val="24"/>
          <w:szCs w:val="24"/>
        </w:rPr>
        <w:t xml:space="preserve"> </w:t>
      </w:r>
      <w:r w:rsidR="00ED5905" w:rsidRPr="00ED5905">
        <w:rPr>
          <w:rFonts w:cs="Times New Roman"/>
          <w:sz w:val="24"/>
          <w:szCs w:val="24"/>
        </w:rPr>
        <w:t>stockholders in the exercise of their rights</w:t>
      </w:r>
      <w:r w:rsidR="00ED5905">
        <w:rPr>
          <w:rFonts w:cs="Times New Roman"/>
          <w:sz w:val="24"/>
          <w:szCs w:val="24"/>
        </w:rPr>
        <w:t xml:space="preserve"> </w:t>
      </w:r>
      <w:r w:rsidR="00ED5905" w:rsidRPr="00ED5905">
        <w:rPr>
          <w:rFonts w:cs="Times New Roman"/>
          <w:sz w:val="24"/>
          <w:szCs w:val="24"/>
        </w:rPr>
        <w:t>to undertake a proxy contest against management</w:t>
      </w:r>
      <w:r w:rsidR="00F03357">
        <w:rPr>
          <w:rFonts w:cs="Times New Roman"/>
          <w:sz w:val="24"/>
          <w:szCs w:val="24"/>
        </w:rPr>
        <w:t>.</w:t>
      </w:r>
      <w:r w:rsidR="005417B9">
        <w:rPr>
          <w:rFonts w:cs="Times New Roman"/>
          <w:sz w:val="24"/>
          <w:szCs w:val="24"/>
        </w:rPr>
        <w:t>'</w:t>
      </w:r>
      <w:r w:rsidR="00044556">
        <w:rPr>
          <w:rFonts w:cs="Times New Roman"/>
          <w:sz w:val="24"/>
          <w:szCs w:val="24"/>
        </w:rPr>
        <w:t>"</w:t>
      </w:r>
      <w:r w:rsidR="00ED5905">
        <w:rPr>
          <w:rStyle w:val="FootnoteReference"/>
          <w:rFonts w:cs="Times New Roman"/>
          <w:sz w:val="24"/>
          <w:szCs w:val="24"/>
        </w:rPr>
        <w:footnoteReference w:id="141"/>
      </w:r>
      <w:r w:rsidR="00ED5905">
        <w:rPr>
          <w:rFonts w:cs="Times New Roman"/>
          <w:sz w:val="24"/>
          <w:szCs w:val="24"/>
        </w:rPr>
        <w:t xml:space="preserve"> </w:t>
      </w:r>
      <w:r w:rsidR="00F03357">
        <w:rPr>
          <w:rFonts w:cs="Times New Roman"/>
          <w:sz w:val="24"/>
          <w:szCs w:val="24"/>
        </w:rPr>
        <w:t xml:space="preserve"> D</w:t>
      </w:r>
      <w:r w:rsidR="00ED5905">
        <w:rPr>
          <w:rFonts w:cs="Times New Roman"/>
          <w:sz w:val="24"/>
          <w:szCs w:val="24"/>
        </w:rPr>
        <w:t xml:space="preserve">oing so was </w:t>
      </w:r>
      <w:r w:rsidR="00044556">
        <w:rPr>
          <w:rFonts w:cs="Times New Roman"/>
          <w:sz w:val="24"/>
          <w:szCs w:val="24"/>
        </w:rPr>
        <w:t>"</w:t>
      </w:r>
      <w:r w:rsidR="00ED5905">
        <w:rPr>
          <w:rFonts w:cs="Times New Roman"/>
          <w:sz w:val="24"/>
          <w:szCs w:val="24"/>
        </w:rPr>
        <w:t>contrary to established principles of corporate democracy.</w:t>
      </w:r>
      <w:r w:rsidR="00044556">
        <w:rPr>
          <w:rFonts w:cs="Times New Roman"/>
          <w:sz w:val="24"/>
          <w:szCs w:val="24"/>
        </w:rPr>
        <w:t>"</w:t>
      </w:r>
      <w:r w:rsidR="00EE58BE">
        <w:rPr>
          <w:rStyle w:val="FootnoteReference"/>
          <w:rFonts w:cs="Times New Roman"/>
          <w:sz w:val="24"/>
          <w:szCs w:val="24"/>
        </w:rPr>
        <w:footnoteReference w:id="142"/>
      </w:r>
      <w:r w:rsidR="00FF1AB5">
        <w:rPr>
          <w:rFonts w:cs="Times New Roman"/>
          <w:sz w:val="24"/>
          <w:szCs w:val="24"/>
        </w:rPr>
        <w:t xml:space="preserve">  Finally, in </w:t>
      </w:r>
      <w:r w:rsidR="00FF1AB5">
        <w:rPr>
          <w:rFonts w:cs="Times New Roman"/>
          <w:i/>
          <w:sz w:val="24"/>
          <w:szCs w:val="24"/>
        </w:rPr>
        <w:t xml:space="preserve">Frantz </w:t>
      </w:r>
      <w:r w:rsidR="00346866">
        <w:rPr>
          <w:rFonts w:cs="Times New Roman"/>
          <w:i/>
          <w:sz w:val="24"/>
          <w:szCs w:val="24"/>
        </w:rPr>
        <w:t>Manufacturing</w:t>
      </w:r>
      <w:r w:rsidR="00FF1AB5">
        <w:rPr>
          <w:rFonts w:cs="Times New Roman"/>
          <w:i/>
          <w:sz w:val="24"/>
          <w:szCs w:val="24"/>
        </w:rPr>
        <w:t xml:space="preserve"> Co. v. EAC Industries</w:t>
      </w:r>
      <w:r w:rsidR="00FF1AB5">
        <w:rPr>
          <w:rFonts w:cs="Times New Roman"/>
          <w:sz w:val="24"/>
          <w:szCs w:val="24"/>
        </w:rPr>
        <w:t xml:space="preserve">, the Court </w:t>
      </w:r>
      <w:r w:rsidR="00F91CE0">
        <w:rPr>
          <w:rFonts w:cs="Times New Roman"/>
          <w:sz w:val="24"/>
          <w:szCs w:val="24"/>
        </w:rPr>
        <w:t>acknowledged,</w:t>
      </w:r>
      <w:r w:rsidR="00FF1AB5">
        <w:rPr>
          <w:rFonts w:cs="Times New Roman"/>
          <w:sz w:val="24"/>
          <w:szCs w:val="24"/>
        </w:rPr>
        <w:t xml:space="preserve"> </w:t>
      </w:r>
      <w:r w:rsidR="00044556">
        <w:rPr>
          <w:rFonts w:cs="Times New Roman"/>
          <w:sz w:val="24"/>
          <w:szCs w:val="24"/>
        </w:rPr>
        <w:t>"</w:t>
      </w:r>
      <w:r w:rsidR="00FF1AB5">
        <w:rPr>
          <w:rFonts w:cs="Times New Roman"/>
          <w:sz w:val="24"/>
          <w:szCs w:val="24"/>
        </w:rPr>
        <w:t>when a board acts for the sole or primary purpose of perpetuating its own control, this improper motive overrides the ordinary protection of the business judgment rule.</w:t>
      </w:r>
      <w:r w:rsidR="00044556">
        <w:rPr>
          <w:rFonts w:cs="Times New Roman"/>
          <w:sz w:val="24"/>
          <w:szCs w:val="24"/>
        </w:rPr>
        <w:t>"</w:t>
      </w:r>
      <w:r w:rsidR="00FF1AB5">
        <w:rPr>
          <w:rStyle w:val="FootnoteReference"/>
          <w:rFonts w:cs="Times New Roman"/>
          <w:sz w:val="24"/>
          <w:szCs w:val="24"/>
        </w:rPr>
        <w:footnoteReference w:id="143"/>
      </w:r>
      <w:r w:rsidR="004252AA">
        <w:rPr>
          <w:rFonts w:cs="Times New Roman"/>
          <w:sz w:val="24"/>
          <w:szCs w:val="24"/>
        </w:rPr>
        <w:t xml:space="preserve">  </w:t>
      </w:r>
      <w:r w:rsidR="00E50A4A">
        <w:rPr>
          <w:rFonts w:cs="Times New Roman"/>
          <w:sz w:val="24"/>
          <w:szCs w:val="24"/>
        </w:rPr>
        <w:t xml:space="preserve">However, in </w:t>
      </w:r>
      <w:r w:rsidR="00C877B8">
        <w:rPr>
          <w:rFonts w:cs="Times New Roman"/>
          <w:i/>
          <w:sz w:val="24"/>
          <w:szCs w:val="24"/>
        </w:rPr>
        <w:t>Frantz</w:t>
      </w:r>
      <w:r w:rsidR="00E50A4A">
        <w:rPr>
          <w:rFonts w:cs="Times New Roman"/>
          <w:sz w:val="24"/>
          <w:szCs w:val="24"/>
        </w:rPr>
        <w:t xml:space="preserve"> </w:t>
      </w:r>
      <w:r w:rsidR="000157F9">
        <w:rPr>
          <w:rFonts w:cs="Times New Roman"/>
          <w:sz w:val="24"/>
          <w:szCs w:val="24"/>
        </w:rPr>
        <w:t>the Court</w:t>
      </w:r>
      <w:r w:rsidR="00E50A4A">
        <w:rPr>
          <w:rFonts w:cs="Times New Roman"/>
          <w:sz w:val="24"/>
          <w:szCs w:val="24"/>
        </w:rPr>
        <w:t xml:space="preserve"> held that a bylaw amended by </w:t>
      </w:r>
      <w:r w:rsidR="005417B9">
        <w:rPr>
          <w:rFonts w:cs="Times New Roman"/>
          <w:sz w:val="24"/>
          <w:szCs w:val="24"/>
        </w:rPr>
        <w:t xml:space="preserve">a controlling </w:t>
      </w:r>
      <w:r w:rsidR="00E50A4A">
        <w:rPr>
          <w:rFonts w:cs="Times New Roman"/>
          <w:sz w:val="24"/>
          <w:szCs w:val="24"/>
        </w:rPr>
        <w:t>shareholder</w:t>
      </w:r>
      <w:r w:rsidR="005417B9">
        <w:rPr>
          <w:rFonts w:cs="Times New Roman"/>
          <w:sz w:val="24"/>
          <w:szCs w:val="24"/>
        </w:rPr>
        <w:t>'s written</w:t>
      </w:r>
      <w:r w:rsidR="00E50A4A">
        <w:rPr>
          <w:rFonts w:cs="Times New Roman"/>
          <w:sz w:val="24"/>
          <w:szCs w:val="24"/>
        </w:rPr>
        <w:t xml:space="preserve"> consent was </w:t>
      </w:r>
      <w:r w:rsidR="00044556">
        <w:rPr>
          <w:rFonts w:cs="Times New Roman"/>
          <w:sz w:val="24"/>
          <w:szCs w:val="24"/>
        </w:rPr>
        <w:t>"</w:t>
      </w:r>
      <w:r w:rsidR="00E50A4A">
        <w:rPr>
          <w:rFonts w:cs="Times New Roman"/>
          <w:sz w:val="24"/>
          <w:szCs w:val="24"/>
        </w:rPr>
        <w:t>not inequitable under the circumstances</w:t>
      </w:r>
      <w:r w:rsidR="00044556">
        <w:rPr>
          <w:rFonts w:cs="Times New Roman"/>
          <w:sz w:val="24"/>
          <w:szCs w:val="24"/>
        </w:rPr>
        <w:t>"</w:t>
      </w:r>
      <w:r w:rsidR="00E50A4A">
        <w:rPr>
          <w:rStyle w:val="FootnoteReference"/>
          <w:rFonts w:cs="Times New Roman"/>
          <w:sz w:val="24"/>
          <w:szCs w:val="24"/>
        </w:rPr>
        <w:footnoteReference w:id="144"/>
      </w:r>
      <w:r w:rsidR="00E50A4A">
        <w:rPr>
          <w:rFonts w:cs="Times New Roman"/>
          <w:sz w:val="24"/>
          <w:szCs w:val="24"/>
        </w:rPr>
        <w:t xml:space="preserve"> </w:t>
      </w:r>
      <w:r w:rsidR="005417B9">
        <w:rPr>
          <w:rFonts w:cs="Times New Roman"/>
          <w:sz w:val="24"/>
          <w:szCs w:val="24"/>
        </w:rPr>
        <w:t xml:space="preserve">where the shareholder merely sought to </w:t>
      </w:r>
      <w:r w:rsidR="00044556">
        <w:rPr>
          <w:rFonts w:cs="Times New Roman"/>
          <w:sz w:val="24"/>
          <w:szCs w:val="24"/>
        </w:rPr>
        <w:t>"</w:t>
      </w:r>
      <w:r w:rsidR="005417B9" w:rsidRPr="005417B9">
        <w:rPr>
          <w:rFonts w:cs="Times New Roman"/>
          <w:sz w:val="24"/>
          <w:szCs w:val="24"/>
        </w:rPr>
        <w:t>avoid its</w:t>
      </w:r>
      <w:r w:rsidR="005417B9">
        <w:rPr>
          <w:rFonts w:cs="Times New Roman"/>
          <w:sz w:val="24"/>
          <w:szCs w:val="24"/>
        </w:rPr>
        <w:t xml:space="preserve"> </w:t>
      </w:r>
      <w:r w:rsidR="005417B9" w:rsidRPr="005417B9">
        <w:rPr>
          <w:rFonts w:cs="Times New Roman"/>
          <w:sz w:val="24"/>
          <w:szCs w:val="24"/>
        </w:rPr>
        <w:t>disenfranchisement as a majority shareholder</w:t>
      </w:r>
      <w:r w:rsidR="005417B9">
        <w:rPr>
          <w:rFonts w:cs="Times New Roman"/>
          <w:sz w:val="24"/>
          <w:szCs w:val="24"/>
        </w:rPr>
        <w:t>.</w:t>
      </w:r>
      <w:r w:rsidR="00044556">
        <w:rPr>
          <w:rFonts w:cs="Times New Roman"/>
          <w:sz w:val="24"/>
          <w:szCs w:val="24"/>
        </w:rPr>
        <w:t>"</w:t>
      </w:r>
      <w:r w:rsidR="005417B9">
        <w:rPr>
          <w:rStyle w:val="FootnoteReference"/>
          <w:rFonts w:cs="Times New Roman"/>
          <w:sz w:val="24"/>
          <w:szCs w:val="24"/>
        </w:rPr>
        <w:footnoteReference w:id="145"/>
      </w:r>
      <w:r w:rsidR="00FA42E5">
        <w:rPr>
          <w:rFonts w:cs="Times New Roman"/>
          <w:sz w:val="24"/>
          <w:szCs w:val="24"/>
        </w:rPr>
        <w:t xml:space="preserve">  </w:t>
      </w:r>
      <w:r w:rsidR="004B4B93">
        <w:rPr>
          <w:rFonts w:cs="Times New Roman"/>
          <w:sz w:val="24"/>
          <w:szCs w:val="24"/>
        </w:rPr>
        <w:t>A</w:t>
      </w:r>
      <w:r w:rsidR="00EF79FB">
        <w:rPr>
          <w:rFonts w:cs="Times New Roman"/>
          <w:sz w:val="24"/>
          <w:szCs w:val="24"/>
        </w:rPr>
        <w:t>lthough fee-shifting bylaws are uncharted judicial territory, a</w:t>
      </w:r>
      <w:r w:rsidR="00C765AE">
        <w:rPr>
          <w:rFonts w:cs="Times New Roman"/>
          <w:sz w:val="24"/>
          <w:szCs w:val="24"/>
        </w:rPr>
        <w:t xml:space="preserve"> stockholder seeking to challenge a fee-shifting bylaw in </w:t>
      </w:r>
      <w:r w:rsidR="007A62DE">
        <w:rPr>
          <w:rFonts w:cs="Times New Roman"/>
          <w:sz w:val="24"/>
          <w:szCs w:val="24"/>
        </w:rPr>
        <w:t>a Delaware court</w:t>
      </w:r>
      <w:r w:rsidR="004D3981">
        <w:rPr>
          <w:rFonts w:cs="Times New Roman"/>
          <w:sz w:val="24"/>
          <w:szCs w:val="24"/>
        </w:rPr>
        <w:t xml:space="preserve"> </w:t>
      </w:r>
      <w:r w:rsidR="007A62DE">
        <w:rPr>
          <w:rFonts w:cs="Times New Roman"/>
          <w:sz w:val="24"/>
          <w:szCs w:val="24"/>
        </w:rPr>
        <w:t xml:space="preserve">can </w:t>
      </w:r>
      <w:r w:rsidR="00262D47">
        <w:rPr>
          <w:rFonts w:cs="Times New Roman"/>
          <w:sz w:val="24"/>
          <w:szCs w:val="24"/>
        </w:rPr>
        <w:t xml:space="preserve">look to these cases for </w:t>
      </w:r>
      <w:r w:rsidR="002B46B7">
        <w:rPr>
          <w:rFonts w:cs="Times New Roman"/>
          <w:sz w:val="24"/>
          <w:szCs w:val="24"/>
        </w:rPr>
        <w:t>guidance</w:t>
      </w:r>
      <w:r w:rsidR="004D3981">
        <w:rPr>
          <w:rFonts w:cs="Times New Roman"/>
          <w:sz w:val="24"/>
          <w:szCs w:val="24"/>
        </w:rPr>
        <w:t>.</w:t>
      </w:r>
    </w:p>
    <w:p w14:paraId="54A56061" w14:textId="7B88CA09" w:rsidR="00FA42E5" w:rsidRDefault="00B03657" w:rsidP="00316553">
      <w:pPr>
        <w:widowControl w:val="0"/>
        <w:spacing w:line="480" w:lineRule="auto"/>
        <w:ind w:firstLine="720"/>
        <w:jc w:val="both"/>
        <w:rPr>
          <w:rFonts w:cs="Times New Roman"/>
          <w:sz w:val="24"/>
          <w:szCs w:val="24"/>
        </w:rPr>
      </w:pPr>
      <w:r>
        <w:rPr>
          <w:rFonts w:cs="Times New Roman"/>
          <w:sz w:val="24"/>
          <w:szCs w:val="24"/>
        </w:rPr>
        <w:t>A plaintiff shareholder does face a substantial burden, however, since c</w:t>
      </w:r>
      <w:r w:rsidR="00A90230">
        <w:rPr>
          <w:rFonts w:cs="Times New Roman"/>
          <w:sz w:val="24"/>
          <w:szCs w:val="24"/>
        </w:rPr>
        <w:t>orporate bylaws benefit from a presumption of validity.</w:t>
      </w:r>
      <w:r w:rsidR="004E7FB7">
        <w:rPr>
          <w:rStyle w:val="FootnoteReference"/>
          <w:rFonts w:cs="Times New Roman"/>
          <w:sz w:val="24"/>
          <w:szCs w:val="24"/>
        </w:rPr>
        <w:footnoteReference w:id="146"/>
      </w:r>
      <w:r w:rsidR="004E7FB7">
        <w:rPr>
          <w:rFonts w:cs="Times New Roman"/>
          <w:sz w:val="24"/>
          <w:szCs w:val="24"/>
        </w:rPr>
        <w:t xml:space="preserve">  </w:t>
      </w:r>
      <w:r w:rsidR="00DC6F81">
        <w:rPr>
          <w:rFonts w:cs="Times New Roman"/>
          <w:sz w:val="24"/>
          <w:szCs w:val="24"/>
        </w:rPr>
        <w:t xml:space="preserve">Before </w:t>
      </w:r>
      <w:r w:rsidR="00433A59">
        <w:rPr>
          <w:rFonts w:cs="Times New Roman"/>
          <w:sz w:val="24"/>
          <w:szCs w:val="24"/>
        </w:rPr>
        <w:t>striking</w:t>
      </w:r>
      <w:r w:rsidR="00DC6F81">
        <w:rPr>
          <w:rFonts w:cs="Times New Roman"/>
          <w:sz w:val="24"/>
          <w:szCs w:val="24"/>
        </w:rPr>
        <w:t xml:space="preserve"> a</w:t>
      </w:r>
      <w:r w:rsidR="00DF1392">
        <w:rPr>
          <w:rFonts w:cs="Times New Roman"/>
          <w:sz w:val="24"/>
          <w:szCs w:val="24"/>
        </w:rPr>
        <w:t>n</w:t>
      </w:r>
      <w:r w:rsidR="00DC6F81">
        <w:rPr>
          <w:rFonts w:cs="Times New Roman"/>
          <w:sz w:val="24"/>
          <w:szCs w:val="24"/>
        </w:rPr>
        <w:t xml:space="preserve"> </w:t>
      </w:r>
      <w:r w:rsidR="00DF1392">
        <w:rPr>
          <w:rFonts w:cs="Times New Roman"/>
          <w:sz w:val="24"/>
          <w:szCs w:val="24"/>
        </w:rPr>
        <w:t>improper</w:t>
      </w:r>
      <w:r w:rsidR="00DC6F81">
        <w:rPr>
          <w:rFonts w:cs="Times New Roman"/>
          <w:sz w:val="24"/>
          <w:szCs w:val="24"/>
        </w:rPr>
        <w:t xml:space="preserve"> bylaw, Delaware courts will attempt to interpret the bylaw </w:t>
      </w:r>
      <w:r w:rsidR="00044556">
        <w:rPr>
          <w:rFonts w:cs="Times New Roman"/>
          <w:sz w:val="24"/>
          <w:szCs w:val="24"/>
        </w:rPr>
        <w:t>"</w:t>
      </w:r>
      <w:r w:rsidR="00DC6F81">
        <w:rPr>
          <w:rFonts w:cs="Times New Roman"/>
          <w:sz w:val="24"/>
          <w:szCs w:val="24"/>
        </w:rPr>
        <w:t>in a manner consistent with the law.</w:t>
      </w:r>
      <w:r w:rsidR="00044556">
        <w:rPr>
          <w:rFonts w:cs="Times New Roman"/>
          <w:sz w:val="24"/>
          <w:szCs w:val="24"/>
        </w:rPr>
        <w:t>"</w:t>
      </w:r>
      <w:r w:rsidR="00DC6F81">
        <w:rPr>
          <w:rStyle w:val="FootnoteReference"/>
          <w:rFonts w:cs="Times New Roman"/>
          <w:sz w:val="24"/>
          <w:szCs w:val="24"/>
        </w:rPr>
        <w:footnoteReference w:id="147"/>
      </w:r>
      <w:r w:rsidR="00DC6F81">
        <w:rPr>
          <w:rFonts w:cs="Times New Roman"/>
          <w:sz w:val="24"/>
          <w:szCs w:val="24"/>
        </w:rPr>
        <w:t xml:space="preserve">  </w:t>
      </w:r>
      <w:r w:rsidR="001055D2">
        <w:rPr>
          <w:rFonts w:cs="Times New Roman"/>
          <w:sz w:val="24"/>
          <w:szCs w:val="24"/>
        </w:rPr>
        <w:t xml:space="preserve">Accordingly, a bylaw can </w:t>
      </w:r>
      <w:r w:rsidR="007063EF">
        <w:rPr>
          <w:rFonts w:cs="Times New Roman"/>
          <w:sz w:val="24"/>
          <w:szCs w:val="24"/>
        </w:rPr>
        <w:t xml:space="preserve">only </w:t>
      </w:r>
      <w:r w:rsidR="001055D2">
        <w:rPr>
          <w:rFonts w:cs="Times New Roman"/>
          <w:sz w:val="24"/>
          <w:szCs w:val="24"/>
        </w:rPr>
        <w:t xml:space="preserve">be invalidated one of two ways: </w:t>
      </w:r>
      <w:r w:rsidR="007063EF">
        <w:rPr>
          <w:rFonts w:cs="Times New Roman"/>
          <w:sz w:val="24"/>
          <w:szCs w:val="24"/>
        </w:rPr>
        <w:t>(</w:t>
      </w:r>
      <w:r w:rsidR="001055D2">
        <w:rPr>
          <w:rFonts w:cs="Times New Roman"/>
          <w:sz w:val="24"/>
          <w:szCs w:val="24"/>
        </w:rPr>
        <w:t xml:space="preserve">1) if the bylaw is </w:t>
      </w:r>
      <w:r w:rsidR="00044556">
        <w:rPr>
          <w:rFonts w:cs="Times New Roman"/>
          <w:sz w:val="24"/>
          <w:szCs w:val="24"/>
        </w:rPr>
        <w:t>"</w:t>
      </w:r>
      <w:r w:rsidR="001055D2">
        <w:rPr>
          <w:rFonts w:cs="Times New Roman"/>
          <w:sz w:val="24"/>
          <w:szCs w:val="24"/>
        </w:rPr>
        <w:t>inconsistent with any statute or rule of common law</w:t>
      </w:r>
      <w:r w:rsidR="00044556">
        <w:rPr>
          <w:rFonts w:cs="Times New Roman"/>
          <w:sz w:val="24"/>
          <w:szCs w:val="24"/>
        </w:rPr>
        <w:t>"</w:t>
      </w:r>
      <w:r w:rsidR="001055D2">
        <w:rPr>
          <w:rFonts w:cs="Times New Roman"/>
          <w:sz w:val="24"/>
          <w:szCs w:val="24"/>
        </w:rPr>
        <w:t xml:space="preserve"> </w:t>
      </w:r>
      <w:r w:rsidR="00CA3185">
        <w:rPr>
          <w:rFonts w:cs="Times New Roman"/>
          <w:sz w:val="24"/>
          <w:szCs w:val="24"/>
        </w:rPr>
        <w:t xml:space="preserve">and therefore facially invalid </w:t>
      </w:r>
      <w:r w:rsidR="001055D2">
        <w:rPr>
          <w:rFonts w:cs="Times New Roman"/>
          <w:sz w:val="24"/>
          <w:szCs w:val="24"/>
        </w:rPr>
        <w:t xml:space="preserve">or </w:t>
      </w:r>
      <w:r w:rsidR="007063EF">
        <w:rPr>
          <w:rFonts w:cs="Times New Roman"/>
          <w:sz w:val="24"/>
          <w:szCs w:val="24"/>
        </w:rPr>
        <w:t>(</w:t>
      </w:r>
      <w:r w:rsidR="001055D2">
        <w:rPr>
          <w:rFonts w:cs="Times New Roman"/>
          <w:sz w:val="24"/>
          <w:szCs w:val="24"/>
        </w:rPr>
        <w:t xml:space="preserve">2) if the bylaw is unreasonable </w:t>
      </w:r>
      <w:r w:rsidR="00E53E60">
        <w:rPr>
          <w:rFonts w:cs="Times New Roman"/>
          <w:sz w:val="24"/>
          <w:szCs w:val="24"/>
        </w:rPr>
        <w:t>in a given circumstance</w:t>
      </w:r>
      <w:r w:rsidR="001055D2">
        <w:rPr>
          <w:rFonts w:cs="Times New Roman"/>
          <w:sz w:val="24"/>
          <w:szCs w:val="24"/>
        </w:rPr>
        <w:t>.</w:t>
      </w:r>
      <w:r w:rsidR="001055D2">
        <w:rPr>
          <w:rStyle w:val="FootnoteReference"/>
          <w:rFonts w:cs="Times New Roman"/>
          <w:sz w:val="24"/>
          <w:szCs w:val="24"/>
        </w:rPr>
        <w:footnoteReference w:id="148"/>
      </w:r>
      <w:r w:rsidR="00752CFE">
        <w:rPr>
          <w:rFonts w:cs="Times New Roman"/>
          <w:sz w:val="24"/>
          <w:szCs w:val="24"/>
        </w:rPr>
        <w:t xml:space="preserve">  </w:t>
      </w:r>
    </w:p>
    <w:p w14:paraId="084D25A7" w14:textId="594E5F19" w:rsidR="0009472A" w:rsidRPr="006E51E3" w:rsidRDefault="00234F5A" w:rsidP="00316553">
      <w:pPr>
        <w:widowControl w:val="0"/>
        <w:spacing w:line="480" w:lineRule="auto"/>
        <w:ind w:firstLine="720"/>
        <w:jc w:val="both"/>
        <w:rPr>
          <w:rFonts w:cs="Times New Roman"/>
          <w:sz w:val="24"/>
          <w:szCs w:val="24"/>
        </w:rPr>
      </w:pPr>
      <w:r>
        <w:rPr>
          <w:rFonts w:cs="Times New Roman"/>
          <w:sz w:val="24"/>
          <w:szCs w:val="24"/>
        </w:rPr>
        <w:t xml:space="preserve">When challenging a </w:t>
      </w:r>
      <w:r w:rsidR="00531F89">
        <w:rPr>
          <w:rFonts w:cs="Times New Roman"/>
          <w:sz w:val="24"/>
          <w:szCs w:val="24"/>
        </w:rPr>
        <w:t>bylaw as facially invalid,</w:t>
      </w:r>
      <w:r w:rsidR="00722E59">
        <w:rPr>
          <w:rFonts w:cs="Times New Roman"/>
          <w:sz w:val="24"/>
          <w:szCs w:val="24"/>
        </w:rPr>
        <w:t xml:space="preserve"> the plaintiff </w:t>
      </w:r>
      <w:r w:rsidR="00044556">
        <w:rPr>
          <w:rFonts w:cs="Times New Roman"/>
          <w:sz w:val="24"/>
          <w:szCs w:val="24"/>
        </w:rPr>
        <w:t>"</w:t>
      </w:r>
      <w:r w:rsidR="00722E59">
        <w:rPr>
          <w:rFonts w:cs="Times New Roman"/>
          <w:sz w:val="24"/>
          <w:szCs w:val="24"/>
        </w:rPr>
        <w:t xml:space="preserve">must show that the bylaws cannot operate lawfully or equitably </w:t>
      </w:r>
      <w:r w:rsidR="00722E59">
        <w:rPr>
          <w:rFonts w:cs="Times New Roman"/>
          <w:i/>
          <w:sz w:val="24"/>
          <w:szCs w:val="24"/>
        </w:rPr>
        <w:t>under any circumstances</w:t>
      </w:r>
      <w:r w:rsidR="00722E59">
        <w:rPr>
          <w:rFonts w:cs="Times New Roman"/>
          <w:sz w:val="24"/>
          <w:szCs w:val="24"/>
        </w:rPr>
        <w:t>.</w:t>
      </w:r>
      <w:r w:rsidR="00044556">
        <w:rPr>
          <w:rFonts w:cs="Times New Roman"/>
          <w:sz w:val="24"/>
          <w:szCs w:val="24"/>
        </w:rPr>
        <w:t>"</w:t>
      </w:r>
      <w:r w:rsidR="00722E59">
        <w:rPr>
          <w:rStyle w:val="FootnoteReference"/>
          <w:rFonts w:cs="Times New Roman"/>
          <w:sz w:val="24"/>
          <w:szCs w:val="24"/>
        </w:rPr>
        <w:footnoteReference w:id="149"/>
      </w:r>
      <w:r w:rsidR="005A0624">
        <w:rPr>
          <w:rFonts w:cs="Times New Roman"/>
          <w:sz w:val="24"/>
          <w:szCs w:val="24"/>
        </w:rPr>
        <w:t xml:space="preserve">  </w:t>
      </w:r>
      <w:r w:rsidR="00C1790F">
        <w:rPr>
          <w:rFonts w:cs="Times New Roman"/>
          <w:sz w:val="24"/>
          <w:szCs w:val="24"/>
        </w:rPr>
        <w:t xml:space="preserve">The plaintiff </w:t>
      </w:r>
      <w:r w:rsidR="00044556">
        <w:rPr>
          <w:rFonts w:cs="Times New Roman"/>
          <w:sz w:val="24"/>
          <w:szCs w:val="24"/>
        </w:rPr>
        <w:t>"</w:t>
      </w:r>
      <w:r w:rsidR="00C1790F">
        <w:rPr>
          <w:rFonts w:cs="Times New Roman"/>
          <w:sz w:val="24"/>
          <w:szCs w:val="24"/>
        </w:rPr>
        <w:t>cannot evade this burden by conjuring up imagined future situations where the bylaws might operate unreasonably.</w:t>
      </w:r>
      <w:r w:rsidR="00044556">
        <w:rPr>
          <w:rFonts w:cs="Times New Roman"/>
          <w:sz w:val="24"/>
          <w:szCs w:val="24"/>
        </w:rPr>
        <w:t>"</w:t>
      </w:r>
      <w:r w:rsidR="00C1790F">
        <w:rPr>
          <w:rStyle w:val="FootnoteReference"/>
          <w:rFonts w:cs="Times New Roman"/>
          <w:sz w:val="24"/>
          <w:szCs w:val="24"/>
        </w:rPr>
        <w:footnoteReference w:id="150"/>
      </w:r>
      <w:r w:rsidR="00C1790F">
        <w:rPr>
          <w:rFonts w:cs="Times New Roman"/>
          <w:sz w:val="24"/>
          <w:szCs w:val="24"/>
        </w:rPr>
        <w:t xml:space="preserve">  Instead, there must be actual abuse; a plaintiff shareholder who provides </w:t>
      </w:r>
      <w:r w:rsidR="00F93A08">
        <w:rPr>
          <w:rFonts w:cs="Times New Roman"/>
          <w:sz w:val="24"/>
          <w:szCs w:val="24"/>
        </w:rPr>
        <w:t xml:space="preserve">only </w:t>
      </w:r>
      <w:r w:rsidR="00C1790F">
        <w:rPr>
          <w:rFonts w:cs="Times New Roman"/>
          <w:sz w:val="24"/>
          <w:szCs w:val="24"/>
        </w:rPr>
        <w:t xml:space="preserve">hypothetical situations </w:t>
      </w:r>
      <w:r w:rsidR="003D1E71">
        <w:rPr>
          <w:rFonts w:cs="Times New Roman"/>
          <w:sz w:val="24"/>
          <w:szCs w:val="24"/>
        </w:rPr>
        <w:t>in which</w:t>
      </w:r>
      <w:r w:rsidR="00C1790F">
        <w:rPr>
          <w:rFonts w:cs="Times New Roman"/>
          <w:sz w:val="24"/>
          <w:szCs w:val="24"/>
        </w:rPr>
        <w:t xml:space="preserve"> a board could misuse the bylaw will not be successful</w:t>
      </w:r>
      <w:r w:rsidR="00D2782D">
        <w:rPr>
          <w:rFonts w:cs="Times New Roman"/>
          <w:sz w:val="24"/>
          <w:szCs w:val="24"/>
        </w:rPr>
        <w:t>,</w:t>
      </w:r>
      <w:r w:rsidR="00C1790F">
        <w:rPr>
          <w:rFonts w:cs="Times New Roman"/>
          <w:sz w:val="24"/>
          <w:szCs w:val="24"/>
        </w:rPr>
        <w:t xml:space="preserve"> </w:t>
      </w:r>
      <w:r w:rsidR="00D2782D">
        <w:rPr>
          <w:rFonts w:cs="Times New Roman"/>
          <w:sz w:val="24"/>
          <w:szCs w:val="24"/>
        </w:rPr>
        <w:t>because</w:t>
      </w:r>
      <w:r w:rsidR="00C1790F">
        <w:rPr>
          <w:rFonts w:cs="Times New Roman"/>
          <w:sz w:val="24"/>
          <w:szCs w:val="24"/>
        </w:rPr>
        <w:t xml:space="preserve"> the court will </w:t>
      </w:r>
      <w:r w:rsidR="00C1790F" w:rsidRPr="00947203">
        <w:rPr>
          <w:rFonts w:cs="Times New Roman"/>
          <w:sz w:val="24"/>
          <w:szCs w:val="24"/>
        </w:rPr>
        <w:t xml:space="preserve">give </w:t>
      </w:r>
      <w:r w:rsidR="00C1790F">
        <w:rPr>
          <w:rFonts w:cs="Times New Roman"/>
          <w:sz w:val="24"/>
          <w:szCs w:val="24"/>
        </w:rPr>
        <w:t>the</w:t>
      </w:r>
      <w:r w:rsidR="00C1790F" w:rsidRPr="00947203">
        <w:rPr>
          <w:rFonts w:cs="Times New Roman"/>
          <w:sz w:val="24"/>
          <w:szCs w:val="24"/>
        </w:rPr>
        <w:t xml:space="preserve"> board a </w:t>
      </w:r>
      <w:r w:rsidR="00044556">
        <w:rPr>
          <w:rFonts w:cs="Times New Roman"/>
          <w:sz w:val="24"/>
          <w:szCs w:val="24"/>
        </w:rPr>
        <w:t>"</w:t>
      </w:r>
      <w:r w:rsidR="00C1790F" w:rsidRPr="00947203">
        <w:rPr>
          <w:rFonts w:cs="Times New Roman"/>
          <w:sz w:val="24"/>
          <w:szCs w:val="24"/>
        </w:rPr>
        <w:t>reasonable opportunity to interpret [an] otherwise valid by-</w:t>
      </w:r>
      <w:r w:rsidR="00C1790F">
        <w:rPr>
          <w:rFonts w:cs="Times New Roman"/>
          <w:sz w:val="24"/>
          <w:szCs w:val="24"/>
        </w:rPr>
        <w:t>law in a fair and proper manner.</w:t>
      </w:r>
      <w:r w:rsidR="00044556">
        <w:rPr>
          <w:rFonts w:cs="Times New Roman"/>
          <w:sz w:val="24"/>
          <w:szCs w:val="24"/>
        </w:rPr>
        <w:t>"</w:t>
      </w:r>
      <w:r w:rsidR="00C1790F">
        <w:rPr>
          <w:rStyle w:val="FootnoteReference"/>
          <w:rFonts w:cs="Times New Roman"/>
          <w:sz w:val="24"/>
          <w:szCs w:val="24"/>
        </w:rPr>
        <w:footnoteReference w:id="151"/>
      </w:r>
      <w:r w:rsidR="00C1790F">
        <w:rPr>
          <w:rFonts w:cs="Times New Roman"/>
          <w:sz w:val="24"/>
          <w:szCs w:val="24"/>
        </w:rPr>
        <w:t xml:space="preserve">  </w:t>
      </w:r>
      <w:r w:rsidR="007E4A6E">
        <w:rPr>
          <w:rFonts w:cs="Times New Roman"/>
          <w:sz w:val="24"/>
          <w:szCs w:val="24"/>
        </w:rPr>
        <w:t>Indeed,</w:t>
      </w:r>
      <w:r w:rsidR="00C1790F">
        <w:rPr>
          <w:rFonts w:cs="Times New Roman"/>
          <w:sz w:val="24"/>
          <w:szCs w:val="24"/>
        </w:rPr>
        <w:t xml:space="preserve"> </w:t>
      </w:r>
      <w:r w:rsidR="00044556">
        <w:rPr>
          <w:rFonts w:cs="Times New Roman"/>
          <w:sz w:val="24"/>
          <w:szCs w:val="24"/>
        </w:rPr>
        <w:t>"</w:t>
      </w:r>
      <w:r w:rsidR="00C1790F">
        <w:rPr>
          <w:rFonts w:cs="Times New Roman"/>
          <w:sz w:val="24"/>
          <w:szCs w:val="24"/>
        </w:rPr>
        <w:t>every valid by-law is always susceptible to potential misuse</w:t>
      </w:r>
      <w:r w:rsidR="00335133">
        <w:rPr>
          <w:rFonts w:cs="Times New Roman"/>
          <w:sz w:val="24"/>
          <w:szCs w:val="24"/>
        </w:rPr>
        <w:t>.</w:t>
      </w:r>
      <w:r w:rsidR="00044556">
        <w:rPr>
          <w:rFonts w:cs="Times New Roman"/>
          <w:sz w:val="24"/>
          <w:szCs w:val="24"/>
        </w:rPr>
        <w:t>"</w:t>
      </w:r>
      <w:r w:rsidR="00C1790F">
        <w:rPr>
          <w:rStyle w:val="FootnoteReference"/>
          <w:rFonts w:cs="Times New Roman"/>
          <w:sz w:val="24"/>
          <w:szCs w:val="24"/>
        </w:rPr>
        <w:footnoteReference w:id="152"/>
      </w:r>
      <w:r w:rsidR="00C1790F">
        <w:rPr>
          <w:rFonts w:cs="Times New Roman"/>
          <w:sz w:val="24"/>
          <w:szCs w:val="24"/>
        </w:rPr>
        <w:t xml:space="preserve"> </w:t>
      </w:r>
      <w:r w:rsidR="00335133">
        <w:rPr>
          <w:rFonts w:cs="Times New Roman"/>
          <w:sz w:val="24"/>
          <w:szCs w:val="24"/>
        </w:rPr>
        <w:t xml:space="preserve"> </w:t>
      </w:r>
      <w:r w:rsidR="00DD2C27">
        <w:rPr>
          <w:rFonts w:cs="Times New Roman"/>
          <w:sz w:val="24"/>
          <w:szCs w:val="24"/>
        </w:rPr>
        <w:t>Where a shareholder is unable to show that a bylaw is invalid as a matter of law, the challenge must be based on an actual controversy</w:t>
      </w:r>
      <w:r w:rsidR="00121F12">
        <w:rPr>
          <w:rFonts w:cs="Times New Roman"/>
          <w:sz w:val="24"/>
          <w:szCs w:val="24"/>
        </w:rPr>
        <w:t>.</w:t>
      </w:r>
      <w:r w:rsidR="00F152AF">
        <w:rPr>
          <w:rStyle w:val="FootnoteReference"/>
          <w:rFonts w:cs="Times New Roman"/>
          <w:sz w:val="24"/>
          <w:szCs w:val="24"/>
        </w:rPr>
        <w:footnoteReference w:id="153"/>
      </w:r>
      <w:r w:rsidR="00AB4655">
        <w:rPr>
          <w:rFonts w:cs="Times New Roman"/>
          <w:sz w:val="24"/>
          <w:szCs w:val="24"/>
        </w:rPr>
        <w:t xml:space="preserve"> </w:t>
      </w:r>
    </w:p>
    <w:p w14:paraId="775E0397" w14:textId="424F2965" w:rsidR="00531F89" w:rsidRDefault="00AB4655" w:rsidP="00316553">
      <w:pPr>
        <w:widowControl w:val="0"/>
        <w:spacing w:line="480" w:lineRule="auto"/>
        <w:ind w:firstLine="720"/>
        <w:jc w:val="both"/>
        <w:rPr>
          <w:rFonts w:cs="Times New Roman"/>
          <w:sz w:val="24"/>
          <w:szCs w:val="24"/>
        </w:rPr>
      </w:pPr>
      <w:r>
        <w:rPr>
          <w:rFonts w:cs="Times New Roman"/>
          <w:sz w:val="24"/>
          <w:szCs w:val="24"/>
        </w:rPr>
        <w:t xml:space="preserve">Because the Court in </w:t>
      </w:r>
      <w:r>
        <w:rPr>
          <w:rFonts w:cs="Times New Roman"/>
          <w:i/>
          <w:sz w:val="24"/>
          <w:szCs w:val="24"/>
        </w:rPr>
        <w:t>ATP Tour</w:t>
      </w:r>
      <w:r>
        <w:rPr>
          <w:rFonts w:cs="Times New Roman"/>
          <w:sz w:val="24"/>
          <w:szCs w:val="24"/>
        </w:rPr>
        <w:t xml:space="preserve"> held that fee-shifting bylaws are facially valid,</w:t>
      </w:r>
      <w:r>
        <w:rPr>
          <w:rStyle w:val="FootnoteReference"/>
          <w:rFonts w:cs="Times New Roman"/>
          <w:sz w:val="24"/>
          <w:szCs w:val="24"/>
        </w:rPr>
        <w:footnoteReference w:id="154"/>
      </w:r>
      <w:r>
        <w:rPr>
          <w:rFonts w:cs="Times New Roman"/>
          <w:sz w:val="24"/>
          <w:szCs w:val="24"/>
        </w:rPr>
        <w:t xml:space="preserve"> </w:t>
      </w:r>
      <w:r w:rsidR="006C32B0">
        <w:rPr>
          <w:rFonts w:cs="Times New Roman"/>
          <w:sz w:val="24"/>
          <w:szCs w:val="24"/>
        </w:rPr>
        <w:t xml:space="preserve">plaintiff shareholders seeking to </w:t>
      </w:r>
      <w:r w:rsidR="007D2F96">
        <w:rPr>
          <w:rFonts w:cs="Times New Roman"/>
          <w:sz w:val="24"/>
          <w:szCs w:val="24"/>
        </w:rPr>
        <w:t>contest a board-adopted</w:t>
      </w:r>
      <w:r w:rsidR="000915BB">
        <w:rPr>
          <w:rFonts w:cs="Times New Roman"/>
          <w:sz w:val="24"/>
          <w:szCs w:val="24"/>
        </w:rPr>
        <w:t xml:space="preserve"> fee-shifting bylaw will have to show actual abuse by the board in order to prevail.</w:t>
      </w:r>
      <w:r w:rsidR="00CA567B">
        <w:rPr>
          <w:rStyle w:val="FootnoteReference"/>
          <w:rFonts w:cs="Times New Roman"/>
          <w:sz w:val="24"/>
          <w:szCs w:val="24"/>
        </w:rPr>
        <w:footnoteReference w:id="155"/>
      </w:r>
      <w:r w:rsidR="00EA6534">
        <w:rPr>
          <w:rFonts w:cs="Times New Roman"/>
          <w:sz w:val="24"/>
          <w:szCs w:val="24"/>
        </w:rPr>
        <w:t xml:space="preserve">  </w:t>
      </w:r>
      <w:r w:rsidR="00586D23">
        <w:rPr>
          <w:rFonts w:cs="Times New Roman"/>
          <w:sz w:val="24"/>
          <w:szCs w:val="24"/>
        </w:rPr>
        <w:t xml:space="preserve">Such challenges are just beginning to </w:t>
      </w:r>
      <w:r w:rsidR="00DF6763">
        <w:rPr>
          <w:rFonts w:cs="Times New Roman"/>
          <w:sz w:val="24"/>
          <w:szCs w:val="24"/>
        </w:rPr>
        <w:t>appear in</w:t>
      </w:r>
      <w:r w:rsidR="00586D23">
        <w:rPr>
          <w:rFonts w:cs="Times New Roman"/>
          <w:sz w:val="24"/>
          <w:szCs w:val="24"/>
        </w:rPr>
        <w:t xml:space="preserve"> the Court of Chancery.</w:t>
      </w:r>
      <w:r w:rsidR="00586D23">
        <w:rPr>
          <w:rStyle w:val="FootnoteReference"/>
          <w:rFonts w:cs="Times New Roman"/>
          <w:sz w:val="24"/>
          <w:szCs w:val="24"/>
        </w:rPr>
        <w:footnoteReference w:id="156"/>
      </w:r>
      <w:r w:rsidR="00586D23">
        <w:rPr>
          <w:rFonts w:cs="Times New Roman"/>
          <w:sz w:val="24"/>
          <w:szCs w:val="24"/>
        </w:rPr>
        <w:t xml:space="preserve">  </w:t>
      </w:r>
      <w:r w:rsidR="00730AC6">
        <w:rPr>
          <w:rFonts w:cs="Times New Roman"/>
          <w:sz w:val="24"/>
          <w:szCs w:val="24"/>
        </w:rPr>
        <w:t xml:space="preserve">The Court of Chancery has not yet stated whether </w:t>
      </w:r>
      <w:r w:rsidR="00235ED1">
        <w:rPr>
          <w:rFonts w:cs="Times New Roman"/>
          <w:sz w:val="24"/>
          <w:szCs w:val="24"/>
        </w:rPr>
        <w:t xml:space="preserve">it will address the question only when considering </w:t>
      </w:r>
      <w:r w:rsidR="00A7750D">
        <w:rPr>
          <w:rFonts w:cs="Times New Roman"/>
          <w:sz w:val="24"/>
          <w:szCs w:val="24"/>
        </w:rPr>
        <w:t xml:space="preserve">a corporation's motion for </w:t>
      </w:r>
      <w:r w:rsidR="008339D8">
        <w:rPr>
          <w:rFonts w:cs="Times New Roman"/>
          <w:sz w:val="24"/>
          <w:szCs w:val="24"/>
        </w:rPr>
        <w:t>attorneys'</w:t>
      </w:r>
      <w:r w:rsidR="00A7750D">
        <w:rPr>
          <w:rFonts w:cs="Times New Roman"/>
          <w:sz w:val="24"/>
          <w:szCs w:val="24"/>
        </w:rPr>
        <w:t xml:space="preserve"> fees, or if it is sufficient for the plaintiff </w:t>
      </w:r>
      <w:r w:rsidR="00FB15D3">
        <w:rPr>
          <w:rFonts w:cs="Times New Roman"/>
          <w:sz w:val="24"/>
          <w:szCs w:val="24"/>
        </w:rPr>
        <w:t>to seek</w:t>
      </w:r>
      <w:r w:rsidR="00562263">
        <w:rPr>
          <w:rFonts w:cs="Times New Roman"/>
          <w:sz w:val="24"/>
          <w:szCs w:val="24"/>
        </w:rPr>
        <w:t xml:space="preserve"> invalidation of the bylaws prior to moving forward in prosecuting </w:t>
      </w:r>
      <w:r w:rsidR="00AC2D75">
        <w:rPr>
          <w:rFonts w:cs="Times New Roman"/>
          <w:sz w:val="24"/>
          <w:szCs w:val="24"/>
        </w:rPr>
        <w:t>a lawsuit</w:t>
      </w:r>
      <w:r w:rsidR="00562263">
        <w:rPr>
          <w:rFonts w:cs="Times New Roman"/>
          <w:sz w:val="24"/>
          <w:szCs w:val="24"/>
        </w:rPr>
        <w:t xml:space="preserve"> against the corporation.</w:t>
      </w:r>
      <w:r w:rsidR="00DF04AD">
        <w:rPr>
          <w:rStyle w:val="FootnoteReference"/>
          <w:rFonts w:cs="Times New Roman"/>
          <w:sz w:val="24"/>
          <w:szCs w:val="24"/>
        </w:rPr>
        <w:footnoteReference w:id="157"/>
      </w:r>
      <w:r w:rsidR="00770578">
        <w:rPr>
          <w:rFonts w:cs="Times New Roman"/>
          <w:sz w:val="24"/>
          <w:szCs w:val="24"/>
        </w:rPr>
        <w:t xml:space="preserve">  If </w:t>
      </w:r>
      <w:r w:rsidR="00432224">
        <w:rPr>
          <w:rFonts w:cs="Times New Roman"/>
          <w:sz w:val="24"/>
          <w:szCs w:val="24"/>
        </w:rPr>
        <w:t xml:space="preserve">having an actual controversy </w:t>
      </w:r>
      <w:r w:rsidR="009B3BB2">
        <w:rPr>
          <w:rFonts w:cs="Times New Roman"/>
          <w:sz w:val="24"/>
          <w:szCs w:val="24"/>
        </w:rPr>
        <w:t>requires</w:t>
      </w:r>
      <w:r w:rsidR="00432224">
        <w:rPr>
          <w:rFonts w:cs="Times New Roman"/>
          <w:sz w:val="24"/>
          <w:szCs w:val="24"/>
        </w:rPr>
        <w:t xml:space="preserve"> </w:t>
      </w:r>
      <w:r w:rsidR="00CE7F2D">
        <w:rPr>
          <w:rFonts w:cs="Times New Roman"/>
          <w:sz w:val="24"/>
          <w:szCs w:val="24"/>
        </w:rPr>
        <w:t xml:space="preserve">that </w:t>
      </w:r>
      <w:r w:rsidR="00C72AF7">
        <w:rPr>
          <w:rFonts w:cs="Times New Roman"/>
          <w:sz w:val="24"/>
          <w:szCs w:val="24"/>
        </w:rPr>
        <w:t xml:space="preserve">the plaintiff has already sued </w:t>
      </w:r>
      <w:r w:rsidR="009B3BB2">
        <w:rPr>
          <w:rFonts w:cs="Times New Roman"/>
          <w:sz w:val="24"/>
          <w:szCs w:val="24"/>
        </w:rPr>
        <w:t xml:space="preserve">and lost </w:t>
      </w:r>
      <w:r w:rsidR="00C72AF7">
        <w:rPr>
          <w:rFonts w:cs="Times New Roman"/>
          <w:sz w:val="24"/>
          <w:szCs w:val="24"/>
        </w:rPr>
        <w:t xml:space="preserve">and would </w:t>
      </w:r>
      <w:r w:rsidR="009B3BB2">
        <w:rPr>
          <w:rFonts w:cs="Times New Roman"/>
          <w:sz w:val="24"/>
          <w:szCs w:val="24"/>
        </w:rPr>
        <w:t xml:space="preserve">therefore </w:t>
      </w:r>
      <w:r w:rsidR="00C72AF7">
        <w:rPr>
          <w:rFonts w:cs="Times New Roman"/>
          <w:sz w:val="24"/>
          <w:szCs w:val="24"/>
        </w:rPr>
        <w:t xml:space="preserve">be subject to liability if the court finds the bylaw valid, </w:t>
      </w:r>
      <w:r w:rsidR="0065689C">
        <w:rPr>
          <w:rFonts w:cs="Times New Roman"/>
          <w:sz w:val="24"/>
          <w:szCs w:val="24"/>
        </w:rPr>
        <w:t>then the deterrent effect of a fee-shifting bylaw would be much more powerful</w:t>
      </w:r>
      <w:r w:rsidR="009B3BB2">
        <w:rPr>
          <w:rFonts w:cs="Times New Roman"/>
          <w:sz w:val="24"/>
          <w:szCs w:val="24"/>
        </w:rPr>
        <w:t>.</w:t>
      </w:r>
      <w:r w:rsidR="00F73533">
        <w:rPr>
          <w:rStyle w:val="FootnoteReference"/>
          <w:rFonts w:cs="Times New Roman"/>
          <w:sz w:val="24"/>
          <w:szCs w:val="24"/>
        </w:rPr>
        <w:footnoteReference w:id="158"/>
      </w:r>
      <w:r w:rsidR="00D64DAA">
        <w:rPr>
          <w:rFonts w:cs="Times New Roman"/>
          <w:sz w:val="24"/>
          <w:szCs w:val="24"/>
        </w:rPr>
        <w:t xml:space="preserve">  Indeed, </w:t>
      </w:r>
      <w:r w:rsidR="000F5863">
        <w:rPr>
          <w:rFonts w:cs="Times New Roman"/>
          <w:sz w:val="24"/>
          <w:szCs w:val="24"/>
        </w:rPr>
        <w:t xml:space="preserve">the deterrent effect </w:t>
      </w:r>
      <w:r w:rsidR="005B15CE">
        <w:rPr>
          <w:rFonts w:cs="Times New Roman"/>
          <w:sz w:val="24"/>
          <w:szCs w:val="24"/>
        </w:rPr>
        <w:t>could</w:t>
      </w:r>
      <w:r w:rsidR="000F5863">
        <w:rPr>
          <w:rFonts w:cs="Times New Roman"/>
          <w:sz w:val="24"/>
          <w:szCs w:val="24"/>
        </w:rPr>
        <w:t xml:space="preserve"> be </w:t>
      </w:r>
      <w:r w:rsidR="00A01257">
        <w:rPr>
          <w:rFonts w:cs="Times New Roman"/>
          <w:sz w:val="24"/>
          <w:szCs w:val="24"/>
        </w:rPr>
        <w:t xml:space="preserve">so powerful that </w:t>
      </w:r>
      <w:r w:rsidR="00A26F2E">
        <w:rPr>
          <w:rFonts w:cs="Times New Roman"/>
          <w:sz w:val="24"/>
          <w:szCs w:val="24"/>
        </w:rPr>
        <w:t>challenges will never be filed.</w:t>
      </w:r>
      <w:r w:rsidR="00A02C2C">
        <w:rPr>
          <w:rStyle w:val="FootnoteReference"/>
          <w:rFonts w:cs="Times New Roman"/>
          <w:sz w:val="24"/>
          <w:szCs w:val="24"/>
        </w:rPr>
        <w:footnoteReference w:id="159"/>
      </w:r>
      <w:r w:rsidR="004964E0">
        <w:rPr>
          <w:rFonts w:cs="Times New Roman"/>
          <w:sz w:val="24"/>
          <w:szCs w:val="24"/>
        </w:rPr>
        <w:t xml:space="preserve"> </w:t>
      </w:r>
    </w:p>
    <w:p w14:paraId="0499ACE0" w14:textId="05EF5B41" w:rsidR="004964E0" w:rsidRPr="00C42D89" w:rsidRDefault="004964E0" w:rsidP="00316553">
      <w:pPr>
        <w:widowControl w:val="0"/>
        <w:spacing w:line="480" w:lineRule="auto"/>
        <w:ind w:firstLine="720"/>
        <w:jc w:val="both"/>
        <w:rPr>
          <w:rFonts w:cs="Times New Roman"/>
          <w:sz w:val="24"/>
          <w:szCs w:val="24"/>
        </w:rPr>
      </w:pPr>
      <w:r>
        <w:rPr>
          <w:rFonts w:cs="Times New Roman"/>
          <w:sz w:val="24"/>
          <w:szCs w:val="24"/>
        </w:rPr>
        <w:t xml:space="preserve">Given </w:t>
      </w:r>
      <w:r w:rsidR="001372C8">
        <w:rPr>
          <w:rFonts w:cs="Times New Roman"/>
          <w:sz w:val="24"/>
          <w:szCs w:val="24"/>
        </w:rPr>
        <w:t>the</w:t>
      </w:r>
      <w:r>
        <w:rPr>
          <w:rFonts w:cs="Times New Roman"/>
          <w:sz w:val="24"/>
          <w:szCs w:val="24"/>
        </w:rPr>
        <w:t xml:space="preserve"> risk of </w:t>
      </w:r>
      <w:r w:rsidR="00C42D89">
        <w:rPr>
          <w:rFonts w:cs="Times New Roman"/>
          <w:sz w:val="24"/>
          <w:szCs w:val="24"/>
        </w:rPr>
        <w:t xml:space="preserve">a </w:t>
      </w:r>
      <w:r w:rsidR="00C42D89">
        <w:rPr>
          <w:rFonts w:cs="Times New Roman"/>
          <w:i/>
          <w:sz w:val="24"/>
          <w:szCs w:val="24"/>
        </w:rPr>
        <w:t>de facto</w:t>
      </w:r>
      <w:r w:rsidR="00C42D89">
        <w:rPr>
          <w:rFonts w:cs="Times New Roman"/>
          <w:sz w:val="24"/>
          <w:szCs w:val="24"/>
        </w:rPr>
        <w:t xml:space="preserve"> bar on shareholder challenges to corporate acts, </w:t>
      </w:r>
      <w:r w:rsidR="001B13B1">
        <w:rPr>
          <w:rFonts w:cs="Times New Roman"/>
          <w:sz w:val="24"/>
          <w:szCs w:val="24"/>
        </w:rPr>
        <w:t xml:space="preserve">some kind of protection for </w:t>
      </w:r>
      <w:r w:rsidR="00FD2AE4">
        <w:rPr>
          <w:rFonts w:cs="Times New Roman"/>
          <w:sz w:val="24"/>
          <w:szCs w:val="24"/>
        </w:rPr>
        <w:t xml:space="preserve">shareholders may </w:t>
      </w:r>
      <w:r w:rsidR="005066A5">
        <w:rPr>
          <w:rFonts w:cs="Times New Roman"/>
          <w:sz w:val="24"/>
          <w:szCs w:val="24"/>
        </w:rPr>
        <w:t>be</w:t>
      </w:r>
      <w:r w:rsidR="00FD2AE4">
        <w:rPr>
          <w:rFonts w:cs="Times New Roman"/>
          <w:sz w:val="24"/>
          <w:szCs w:val="24"/>
        </w:rPr>
        <w:t xml:space="preserve"> necessary. </w:t>
      </w:r>
      <w:r w:rsidR="00F22C8E">
        <w:rPr>
          <w:rFonts w:cs="Times New Roman"/>
          <w:sz w:val="24"/>
          <w:szCs w:val="24"/>
        </w:rPr>
        <w:t xml:space="preserve"> </w:t>
      </w:r>
      <w:r w:rsidR="00194CD6">
        <w:rPr>
          <w:rFonts w:cs="Times New Roman"/>
          <w:sz w:val="24"/>
          <w:szCs w:val="24"/>
        </w:rPr>
        <w:t xml:space="preserve">If </w:t>
      </w:r>
      <w:r w:rsidR="004C6365">
        <w:rPr>
          <w:rFonts w:cs="Times New Roman"/>
          <w:sz w:val="24"/>
          <w:szCs w:val="24"/>
        </w:rPr>
        <w:t>so</w:t>
      </w:r>
      <w:r w:rsidR="00FE5656">
        <w:rPr>
          <w:rFonts w:cs="Times New Roman"/>
          <w:sz w:val="24"/>
          <w:szCs w:val="24"/>
        </w:rPr>
        <w:t>, the Delaware Court of Chancery has the power in equity to declare</w:t>
      </w:r>
      <w:r w:rsidR="00866F5C">
        <w:rPr>
          <w:rFonts w:cs="Times New Roman"/>
          <w:sz w:val="24"/>
          <w:szCs w:val="24"/>
        </w:rPr>
        <w:t xml:space="preserve"> bylaws unenforceable </w:t>
      </w:r>
      <w:r w:rsidR="00C32A24">
        <w:rPr>
          <w:rFonts w:cs="Times New Roman"/>
          <w:sz w:val="24"/>
          <w:szCs w:val="24"/>
        </w:rPr>
        <w:t>in</w:t>
      </w:r>
      <w:r w:rsidR="00866F5C">
        <w:rPr>
          <w:rFonts w:cs="Times New Roman"/>
          <w:sz w:val="24"/>
          <w:szCs w:val="24"/>
        </w:rPr>
        <w:t xml:space="preserve"> certain circumstances.  </w:t>
      </w:r>
      <w:r w:rsidR="006B1D9F">
        <w:rPr>
          <w:rFonts w:cs="Times New Roman"/>
          <w:sz w:val="24"/>
          <w:szCs w:val="24"/>
        </w:rPr>
        <w:t xml:space="preserve">However, </w:t>
      </w:r>
      <w:r w:rsidR="00697E2F">
        <w:rPr>
          <w:rFonts w:cs="Times New Roman"/>
          <w:sz w:val="24"/>
          <w:szCs w:val="24"/>
        </w:rPr>
        <w:t xml:space="preserve">plaintiffs have a significant burden to overcome, and they may be unwilling to attempt to do so in the face of a fee-shifting provision.  </w:t>
      </w:r>
      <w:r w:rsidR="00364D32">
        <w:rPr>
          <w:rFonts w:cs="Times New Roman"/>
          <w:sz w:val="24"/>
          <w:szCs w:val="24"/>
        </w:rPr>
        <w:t>These risks may require</w:t>
      </w:r>
      <w:r w:rsidR="00B175B4">
        <w:rPr>
          <w:rFonts w:cs="Times New Roman"/>
          <w:sz w:val="24"/>
          <w:szCs w:val="24"/>
        </w:rPr>
        <w:t xml:space="preserve"> l</w:t>
      </w:r>
      <w:r w:rsidR="00697E2F">
        <w:rPr>
          <w:rFonts w:cs="Times New Roman"/>
          <w:sz w:val="24"/>
          <w:szCs w:val="24"/>
        </w:rPr>
        <w:t xml:space="preserve">egislative action. </w:t>
      </w:r>
      <w:r w:rsidR="00DA4C3F">
        <w:rPr>
          <w:rFonts w:cs="Times New Roman"/>
          <w:sz w:val="24"/>
          <w:szCs w:val="24"/>
        </w:rPr>
        <w:t xml:space="preserve"> </w:t>
      </w:r>
      <w:r w:rsidR="00F05A62">
        <w:rPr>
          <w:rFonts w:cs="Times New Roman"/>
          <w:sz w:val="24"/>
          <w:szCs w:val="24"/>
        </w:rPr>
        <w:t>Accordingly, s</w:t>
      </w:r>
      <w:r w:rsidR="00E70D21">
        <w:rPr>
          <w:rFonts w:cs="Times New Roman"/>
          <w:sz w:val="24"/>
          <w:szCs w:val="24"/>
        </w:rPr>
        <w:t xml:space="preserve">everal options </w:t>
      </w:r>
      <w:r w:rsidR="00176F9E">
        <w:rPr>
          <w:rFonts w:cs="Times New Roman"/>
          <w:sz w:val="24"/>
          <w:szCs w:val="24"/>
        </w:rPr>
        <w:t xml:space="preserve">for </w:t>
      </w:r>
      <w:r w:rsidR="00C5524C">
        <w:rPr>
          <w:rFonts w:cs="Times New Roman"/>
          <w:sz w:val="24"/>
          <w:szCs w:val="24"/>
        </w:rPr>
        <w:t xml:space="preserve">limiting the negative impact of fee-shifting bylaws </w:t>
      </w:r>
      <w:r w:rsidR="00C26477">
        <w:rPr>
          <w:rFonts w:cs="Times New Roman"/>
          <w:sz w:val="24"/>
          <w:szCs w:val="24"/>
        </w:rPr>
        <w:t>are discussed in the next subpart.</w:t>
      </w:r>
    </w:p>
    <w:p w14:paraId="79950C80" w14:textId="1CCCC8F1" w:rsidR="00297ACE" w:rsidRPr="00297ACE" w:rsidRDefault="00C42D16" w:rsidP="00021DB6">
      <w:pPr>
        <w:pStyle w:val="Heading2"/>
      </w:pPr>
      <w:r>
        <w:t>Exploring the Middle Ground</w:t>
      </w:r>
    </w:p>
    <w:p w14:paraId="1512CC5A" w14:textId="029850BC" w:rsidR="00297ACE" w:rsidRDefault="006D7A94" w:rsidP="00316553">
      <w:pPr>
        <w:widowControl w:val="0"/>
        <w:spacing w:line="480" w:lineRule="auto"/>
        <w:ind w:firstLine="720"/>
        <w:jc w:val="both"/>
        <w:rPr>
          <w:rFonts w:cs="Times New Roman"/>
          <w:sz w:val="24"/>
          <w:szCs w:val="24"/>
        </w:rPr>
      </w:pPr>
      <w:r>
        <w:rPr>
          <w:rFonts w:cs="Times New Roman"/>
          <w:sz w:val="24"/>
          <w:szCs w:val="24"/>
        </w:rPr>
        <w:t xml:space="preserve">In addressing the concerns </w:t>
      </w:r>
      <w:r w:rsidR="00DA4A00">
        <w:rPr>
          <w:rFonts w:cs="Times New Roman"/>
          <w:sz w:val="24"/>
          <w:szCs w:val="24"/>
        </w:rPr>
        <w:t xml:space="preserve">outlined </w:t>
      </w:r>
      <w:r w:rsidR="00405D27">
        <w:rPr>
          <w:rFonts w:cs="Times New Roman"/>
          <w:sz w:val="24"/>
          <w:szCs w:val="24"/>
        </w:rPr>
        <w:t>above</w:t>
      </w:r>
      <w:r>
        <w:rPr>
          <w:rFonts w:cs="Times New Roman"/>
          <w:sz w:val="24"/>
          <w:szCs w:val="24"/>
        </w:rPr>
        <w:t xml:space="preserve">, </w:t>
      </w:r>
      <w:r w:rsidR="005231A5">
        <w:rPr>
          <w:rFonts w:cs="Times New Roman"/>
          <w:sz w:val="24"/>
          <w:szCs w:val="24"/>
        </w:rPr>
        <w:t>the legislature should explore solutions that will address excessive litigation</w:t>
      </w:r>
      <w:r w:rsidR="00F340F3">
        <w:rPr>
          <w:rFonts w:cs="Times New Roman"/>
          <w:sz w:val="24"/>
          <w:szCs w:val="24"/>
        </w:rPr>
        <w:t xml:space="preserve">, including allowing corporations to </w:t>
      </w:r>
      <w:r w:rsidR="006B7CA2">
        <w:rPr>
          <w:rFonts w:cs="Times New Roman"/>
          <w:sz w:val="24"/>
          <w:szCs w:val="24"/>
        </w:rPr>
        <w:t>reasonably</w:t>
      </w:r>
      <w:r w:rsidR="00F340F3">
        <w:rPr>
          <w:rFonts w:cs="Times New Roman"/>
          <w:sz w:val="24"/>
          <w:szCs w:val="24"/>
        </w:rPr>
        <w:t xml:space="preserve"> deter frivolous lawsuits, </w:t>
      </w:r>
      <w:r w:rsidR="005231A5">
        <w:rPr>
          <w:rFonts w:cs="Times New Roman"/>
          <w:sz w:val="24"/>
          <w:szCs w:val="24"/>
        </w:rPr>
        <w:t>while limiting the unfair consequences of fee-shifting bylaws.</w:t>
      </w:r>
      <w:r w:rsidR="00C86CD2" w:rsidRPr="00C86CD2">
        <w:rPr>
          <w:rFonts w:cs="Times New Roman"/>
          <w:sz w:val="24"/>
          <w:szCs w:val="24"/>
        </w:rPr>
        <w:t xml:space="preserve"> </w:t>
      </w:r>
      <w:r w:rsidR="00C86CD2">
        <w:rPr>
          <w:rFonts w:cs="Times New Roman"/>
          <w:sz w:val="24"/>
          <w:szCs w:val="24"/>
        </w:rPr>
        <w:t xml:space="preserve"> </w:t>
      </w:r>
      <w:r w:rsidR="00F064EB">
        <w:rPr>
          <w:rFonts w:cs="Times New Roman"/>
          <w:sz w:val="24"/>
          <w:szCs w:val="24"/>
        </w:rPr>
        <w:t>In the event that the current</w:t>
      </w:r>
      <w:r w:rsidR="007B57A3">
        <w:rPr>
          <w:rFonts w:cs="Times New Roman"/>
          <w:sz w:val="24"/>
          <w:szCs w:val="24"/>
        </w:rPr>
        <w:t xml:space="preserve"> </w:t>
      </w:r>
      <w:r w:rsidR="0067160E">
        <w:rPr>
          <w:rFonts w:cs="Times New Roman"/>
          <w:sz w:val="24"/>
          <w:szCs w:val="24"/>
        </w:rPr>
        <w:t xml:space="preserve">legislative </w:t>
      </w:r>
      <w:r w:rsidR="007B57A3">
        <w:rPr>
          <w:rFonts w:cs="Times New Roman"/>
          <w:sz w:val="24"/>
          <w:szCs w:val="24"/>
        </w:rPr>
        <w:t xml:space="preserve">effort </w:t>
      </w:r>
      <w:r w:rsidR="0067160E">
        <w:rPr>
          <w:rFonts w:cs="Times New Roman"/>
          <w:sz w:val="24"/>
          <w:szCs w:val="24"/>
        </w:rPr>
        <w:t>fails</w:t>
      </w:r>
      <w:r w:rsidR="007B57A3">
        <w:rPr>
          <w:rFonts w:cs="Times New Roman"/>
          <w:sz w:val="24"/>
          <w:szCs w:val="24"/>
        </w:rPr>
        <w:t xml:space="preserve">, </w:t>
      </w:r>
      <w:r w:rsidR="0074778E">
        <w:rPr>
          <w:rFonts w:cs="Times New Roman"/>
          <w:sz w:val="24"/>
          <w:szCs w:val="24"/>
        </w:rPr>
        <w:t xml:space="preserve">there </w:t>
      </w:r>
      <w:r w:rsidR="006406C8">
        <w:rPr>
          <w:rFonts w:cs="Times New Roman"/>
          <w:sz w:val="24"/>
          <w:szCs w:val="24"/>
        </w:rPr>
        <w:t>are</w:t>
      </w:r>
      <w:r w:rsidR="0074778E">
        <w:rPr>
          <w:rFonts w:cs="Times New Roman"/>
          <w:sz w:val="24"/>
          <w:szCs w:val="24"/>
        </w:rPr>
        <w:t xml:space="preserve"> </w:t>
      </w:r>
      <w:r w:rsidR="00C86CD2">
        <w:rPr>
          <w:rFonts w:cs="Times New Roman"/>
          <w:sz w:val="24"/>
          <w:szCs w:val="24"/>
        </w:rPr>
        <w:t xml:space="preserve">several ways to limit fee-shifting bylaws while not eliminating them entirely.  </w:t>
      </w:r>
    </w:p>
    <w:p w14:paraId="1A80B7C9" w14:textId="654B3D22" w:rsidR="00EF017F" w:rsidRDefault="00F82F8C" w:rsidP="00316553">
      <w:pPr>
        <w:widowControl w:val="0"/>
        <w:spacing w:line="480" w:lineRule="auto"/>
        <w:ind w:firstLine="720"/>
        <w:jc w:val="both"/>
        <w:rPr>
          <w:rFonts w:cs="Times New Roman"/>
          <w:sz w:val="24"/>
          <w:szCs w:val="24"/>
        </w:rPr>
      </w:pPr>
      <w:r>
        <w:rPr>
          <w:rFonts w:cs="Times New Roman"/>
          <w:sz w:val="24"/>
          <w:szCs w:val="24"/>
        </w:rPr>
        <w:t>First</w:t>
      </w:r>
      <w:r w:rsidR="00EF017F">
        <w:rPr>
          <w:rFonts w:cs="Times New Roman"/>
          <w:sz w:val="24"/>
          <w:szCs w:val="24"/>
        </w:rPr>
        <w:t xml:space="preserve">, </w:t>
      </w:r>
      <w:r w:rsidR="00105D1D">
        <w:rPr>
          <w:rFonts w:cs="Times New Roman"/>
          <w:sz w:val="24"/>
          <w:szCs w:val="24"/>
        </w:rPr>
        <w:t xml:space="preserve">the legislature could </w:t>
      </w:r>
      <w:r w:rsidR="005C4263">
        <w:rPr>
          <w:rFonts w:cs="Times New Roman"/>
          <w:sz w:val="24"/>
          <w:szCs w:val="24"/>
        </w:rPr>
        <w:t xml:space="preserve">amend </w:t>
      </w:r>
      <w:r w:rsidR="001E6F3C">
        <w:rPr>
          <w:rFonts w:cs="Times New Roman"/>
          <w:sz w:val="24"/>
          <w:szCs w:val="24"/>
        </w:rPr>
        <w:t xml:space="preserve">8 </w:t>
      </w:r>
      <w:r w:rsidR="001E6F3C">
        <w:rPr>
          <w:rFonts w:cs="Times New Roman"/>
          <w:i/>
          <w:sz w:val="24"/>
          <w:szCs w:val="24"/>
        </w:rPr>
        <w:t xml:space="preserve">Del. C. </w:t>
      </w:r>
      <w:r w:rsidR="00C37811">
        <w:rPr>
          <w:rFonts w:cs="Times New Roman"/>
          <w:sz w:val="24"/>
          <w:szCs w:val="24"/>
        </w:rPr>
        <w:t>§ 102(b)</w:t>
      </w:r>
      <w:r w:rsidR="001E6F3C">
        <w:rPr>
          <w:rFonts w:cs="Times New Roman"/>
          <w:sz w:val="24"/>
          <w:szCs w:val="24"/>
        </w:rPr>
        <w:t xml:space="preserve"> </w:t>
      </w:r>
      <w:r w:rsidR="00B64A90">
        <w:rPr>
          <w:rFonts w:cs="Times New Roman"/>
          <w:sz w:val="24"/>
          <w:szCs w:val="24"/>
        </w:rPr>
        <w:t xml:space="preserve">to require that </w:t>
      </w:r>
      <w:r w:rsidR="00EF783F">
        <w:rPr>
          <w:rFonts w:cs="Times New Roman"/>
          <w:sz w:val="24"/>
          <w:szCs w:val="24"/>
        </w:rPr>
        <w:t>a fee-shifting provision in the Articles of Incorporation or bylaws must be bilateral</w:t>
      </w:r>
      <w:r w:rsidR="003144DA">
        <w:rPr>
          <w:rFonts w:cs="Times New Roman"/>
          <w:sz w:val="24"/>
          <w:szCs w:val="24"/>
        </w:rPr>
        <w:t xml:space="preserve"> or truly </w:t>
      </w:r>
      <w:r w:rsidR="00044556">
        <w:rPr>
          <w:rFonts w:cs="Times New Roman"/>
          <w:sz w:val="24"/>
          <w:szCs w:val="24"/>
        </w:rPr>
        <w:t>"</w:t>
      </w:r>
      <w:r w:rsidR="003144DA">
        <w:rPr>
          <w:rFonts w:cs="Times New Roman"/>
          <w:sz w:val="24"/>
          <w:szCs w:val="24"/>
        </w:rPr>
        <w:t>loser pays.</w:t>
      </w:r>
      <w:r w:rsidR="00044556">
        <w:rPr>
          <w:rFonts w:cs="Times New Roman"/>
          <w:sz w:val="24"/>
          <w:szCs w:val="24"/>
        </w:rPr>
        <w:t>"</w:t>
      </w:r>
      <w:r w:rsidR="003144DA">
        <w:rPr>
          <w:rFonts w:cs="Times New Roman"/>
          <w:sz w:val="24"/>
          <w:szCs w:val="24"/>
        </w:rPr>
        <w:t xml:space="preserve"> </w:t>
      </w:r>
      <w:r w:rsidR="00FA3BEA">
        <w:rPr>
          <w:rFonts w:cs="Times New Roman"/>
          <w:sz w:val="24"/>
          <w:szCs w:val="24"/>
        </w:rPr>
        <w:t xml:space="preserve"> </w:t>
      </w:r>
      <w:r w:rsidR="00E173C2">
        <w:rPr>
          <w:rFonts w:cs="Times New Roman"/>
          <w:sz w:val="24"/>
          <w:szCs w:val="24"/>
        </w:rPr>
        <w:t xml:space="preserve">Instead of </w:t>
      </w:r>
      <w:r w:rsidR="0021354D">
        <w:rPr>
          <w:rFonts w:cs="Times New Roman"/>
          <w:sz w:val="24"/>
          <w:szCs w:val="24"/>
        </w:rPr>
        <w:t xml:space="preserve">only deterring stockholders from suing, the provision would </w:t>
      </w:r>
      <w:r w:rsidR="00D53767">
        <w:rPr>
          <w:rFonts w:cs="Times New Roman"/>
          <w:sz w:val="24"/>
          <w:szCs w:val="24"/>
        </w:rPr>
        <w:t xml:space="preserve">also deter the corporate board from </w:t>
      </w:r>
      <w:r w:rsidR="00A32A5A">
        <w:rPr>
          <w:rFonts w:cs="Times New Roman"/>
          <w:sz w:val="24"/>
          <w:szCs w:val="24"/>
        </w:rPr>
        <w:t>behaving unfairly toward shareholders</w:t>
      </w:r>
      <w:r w:rsidR="00BA773D">
        <w:rPr>
          <w:rFonts w:cs="Times New Roman"/>
          <w:sz w:val="24"/>
          <w:szCs w:val="24"/>
        </w:rPr>
        <w:t xml:space="preserve">, since they too </w:t>
      </w:r>
      <w:r w:rsidR="00735E43">
        <w:rPr>
          <w:rFonts w:cs="Times New Roman"/>
          <w:sz w:val="24"/>
          <w:szCs w:val="24"/>
        </w:rPr>
        <w:t xml:space="preserve">could be exposed to liability for </w:t>
      </w:r>
      <w:r w:rsidR="0004227B">
        <w:rPr>
          <w:rFonts w:cs="Times New Roman"/>
          <w:sz w:val="24"/>
          <w:szCs w:val="24"/>
        </w:rPr>
        <w:t>legal expenses beyond their own.</w:t>
      </w:r>
      <w:r w:rsidR="00795183">
        <w:rPr>
          <w:rFonts w:cs="Times New Roman"/>
          <w:sz w:val="24"/>
          <w:szCs w:val="24"/>
        </w:rPr>
        <w:t xml:space="preserve">  In addition, a majority of shareholders would be more </w:t>
      </w:r>
      <w:r w:rsidR="001358D5">
        <w:rPr>
          <w:rFonts w:cs="Times New Roman"/>
          <w:sz w:val="24"/>
          <w:szCs w:val="24"/>
        </w:rPr>
        <w:t>likely to disfavor fee shifting</w:t>
      </w:r>
      <w:r w:rsidR="00181ADF">
        <w:rPr>
          <w:rFonts w:cs="Times New Roman"/>
          <w:sz w:val="24"/>
          <w:szCs w:val="24"/>
        </w:rPr>
        <w:t xml:space="preserve"> due to the risk of </w:t>
      </w:r>
      <w:r w:rsidR="004663C2">
        <w:rPr>
          <w:rFonts w:cs="Times New Roman"/>
          <w:sz w:val="24"/>
          <w:szCs w:val="24"/>
        </w:rPr>
        <w:t xml:space="preserve">corporate </w:t>
      </w:r>
      <w:r w:rsidR="0061402C">
        <w:rPr>
          <w:rFonts w:cs="Times New Roman"/>
          <w:sz w:val="24"/>
          <w:szCs w:val="24"/>
        </w:rPr>
        <w:t xml:space="preserve">exposure to liability for a plaintiff's </w:t>
      </w:r>
      <w:r w:rsidR="009820EF">
        <w:rPr>
          <w:rFonts w:cs="Times New Roman"/>
          <w:sz w:val="24"/>
          <w:szCs w:val="24"/>
        </w:rPr>
        <w:t>legal</w:t>
      </w:r>
      <w:r w:rsidR="0061402C">
        <w:rPr>
          <w:rFonts w:cs="Times New Roman"/>
          <w:sz w:val="24"/>
          <w:szCs w:val="24"/>
        </w:rPr>
        <w:t xml:space="preserve"> fees.  </w:t>
      </w:r>
      <w:r w:rsidR="00BD77E2">
        <w:rPr>
          <w:rFonts w:cs="Times New Roman"/>
          <w:sz w:val="24"/>
          <w:szCs w:val="24"/>
        </w:rPr>
        <w:t>Fewer</w:t>
      </w:r>
      <w:r w:rsidR="00913327">
        <w:rPr>
          <w:rFonts w:cs="Times New Roman"/>
          <w:sz w:val="24"/>
          <w:szCs w:val="24"/>
        </w:rPr>
        <w:t xml:space="preserve"> corporations would be willing to adopt fee-shifting bylaws</w:t>
      </w:r>
      <w:r w:rsidR="001358D5">
        <w:rPr>
          <w:rFonts w:cs="Times New Roman"/>
          <w:sz w:val="24"/>
          <w:szCs w:val="24"/>
        </w:rPr>
        <w:t>.</w:t>
      </w:r>
      <w:r w:rsidR="008E2C76">
        <w:rPr>
          <w:rFonts w:cs="Times New Roman"/>
          <w:sz w:val="24"/>
          <w:szCs w:val="24"/>
        </w:rPr>
        <w:t xml:space="preserve">  </w:t>
      </w:r>
      <w:r w:rsidR="006961D3">
        <w:rPr>
          <w:rFonts w:cs="Times New Roman"/>
          <w:sz w:val="24"/>
          <w:szCs w:val="24"/>
        </w:rPr>
        <w:t>Meanwhile</w:t>
      </w:r>
      <w:r w:rsidR="008E2C76">
        <w:rPr>
          <w:rFonts w:cs="Times New Roman"/>
          <w:sz w:val="24"/>
          <w:szCs w:val="24"/>
        </w:rPr>
        <w:t xml:space="preserve">, </w:t>
      </w:r>
      <w:r w:rsidR="00C8066B">
        <w:rPr>
          <w:rFonts w:cs="Times New Roman"/>
          <w:sz w:val="24"/>
          <w:szCs w:val="24"/>
        </w:rPr>
        <w:t xml:space="preserve">plaintiff stockholders </w:t>
      </w:r>
      <w:r w:rsidR="00D90FE5">
        <w:rPr>
          <w:rFonts w:cs="Times New Roman"/>
          <w:sz w:val="24"/>
          <w:szCs w:val="24"/>
        </w:rPr>
        <w:t>with dubious</w:t>
      </w:r>
      <w:r w:rsidR="00C8066B">
        <w:rPr>
          <w:rFonts w:cs="Times New Roman"/>
          <w:sz w:val="24"/>
          <w:szCs w:val="24"/>
        </w:rPr>
        <w:t xml:space="preserve"> claims would still be deterred from suing.</w:t>
      </w:r>
    </w:p>
    <w:p w14:paraId="379C8A27" w14:textId="14AF47D5" w:rsidR="00492864" w:rsidRDefault="00147975" w:rsidP="00316553">
      <w:pPr>
        <w:widowControl w:val="0"/>
        <w:spacing w:line="480" w:lineRule="auto"/>
        <w:ind w:firstLine="720"/>
        <w:jc w:val="both"/>
        <w:rPr>
          <w:rFonts w:cs="Times New Roman"/>
          <w:sz w:val="24"/>
          <w:szCs w:val="24"/>
        </w:rPr>
      </w:pPr>
      <w:r>
        <w:rPr>
          <w:rFonts w:cs="Times New Roman"/>
          <w:sz w:val="24"/>
          <w:szCs w:val="24"/>
        </w:rPr>
        <w:t>Second</w:t>
      </w:r>
      <w:r w:rsidR="00492864">
        <w:rPr>
          <w:rFonts w:cs="Times New Roman"/>
          <w:sz w:val="24"/>
          <w:szCs w:val="24"/>
        </w:rPr>
        <w:t xml:space="preserve">, the legislature could protect minority shareholders by limiting </w:t>
      </w:r>
      <w:r w:rsidR="00EB0E81">
        <w:rPr>
          <w:rFonts w:cs="Times New Roman"/>
          <w:sz w:val="24"/>
          <w:szCs w:val="24"/>
        </w:rPr>
        <w:t xml:space="preserve">fee </w:t>
      </w:r>
      <w:r w:rsidR="0037773B">
        <w:rPr>
          <w:rFonts w:cs="Times New Roman"/>
          <w:sz w:val="24"/>
          <w:szCs w:val="24"/>
        </w:rPr>
        <w:t xml:space="preserve">shifting </w:t>
      </w:r>
      <w:r w:rsidR="00EB0E81">
        <w:rPr>
          <w:rFonts w:cs="Times New Roman"/>
          <w:sz w:val="24"/>
          <w:szCs w:val="24"/>
        </w:rPr>
        <w:t xml:space="preserve">to publicly traded corporations, or at least </w:t>
      </w:r>
      <w:r w:rsidR="00BA077B">
        <w:rPr>
          <w:rFonts w:cs="Times New Roman"/>
          <w:sz w:val="24"/>
          <w:szCs w:val="24"/>
        </w:rPr>
        <w:t xml:space="preserve">prohibiting their application to close corporations.  Doing so would </w:t>
      </w:r>
      <w:r w:rsidR="00D96AF9">
        <w:rPr>
          <w:rFonts w:cs="Times New Roman"/>
          <w:sz w:val="24"/>
          <w:szCs w:val="24"/>
        </w:rPr>
        <w:t xml:space="preserve">recognize that investors in companies with a ready market for their shares are capable of </w:t>
      </w:r>
      <w:r w:rsidR="000C5271">
        <w:rPr>
          <w:rFonts w:cs="Times New Roman"/>
          <w:sz w:val="24"/>
          <w:szCs w:val="24"/>
        </w:rPr>
        <w:t xml:space="preserve">selling their shares and moving on if they do not have sufficient influence to </w:t>
      </w:r>
      <w:r w:rsidR="00D96AF9">
        <w:rPr>
          <w:rFonts w:cs="Times New Roman"/>
          <w:sz w:val="24"/>
          <w:szCs w:val="24"/>
        </w:rPr>
        <w:t>exercis</w:t>
      </w:r>
      <w:r w:rsidR="000C5271">
        <w:rPr>
          <w:rFonts w:cs="Times New Roman"/>
          <w:sz w:val="24"/>
          <w:szCs w:val="24"/>
        </w:rPr>
        <w:t>e</w:t>
      </w:r>
      <w:r w:rsidR="00D96AF9">
        <w:rPr>
          <w:rFonts w:cs="Times New Roman"/>
          <w:sz w:val="24"/>
          <w:szCs w:val="24"/>
        </w:rPr>
        <w:t xml:space="preserve"> their corporate democratic rights</w:t>
      </w:r>
      <w:r w:rsidR="000C5271">
        <w:rPr>
          <w:rFonts w:cs="Times New Roman"/>
          <w:sz w:val="24"/>
          <w:szCs w:val="24"/>
        </w:rPr>
        <w:t>.</w:t>
      </w:r>
      <w:r w:rsidR="00F5673A">
        <w:rPr>
          <w:rFonts w:cs="Times New Roman"/>
          <w:sz w:val="24"/>
          <w:szCs w:val="24"/>
        </w:rPr>
        <w:t xml:space="preserve">  At the same time, those stockholders whose companies are not </w:t>
      </w:r>
      <w:r w:rsidR="00483EA9">
        <w:rPr>
          <w:rFonts w:cs="Times New Roman"/>
          <w:sz w:val="24"/>
          <w:szCs w:val="24"/>
        </w:rPr>
        <w:t xml:space="preserve">publicly traded and do not have a large enough </w:t>
      </w:r>
      <w:r w:rsidR="0059358E">
        <w:rPr>
          <w:rFonts w:cs="Times New Roman"/>
          <w:sz w:val="24"/>
          <w:szCs w:val="24"/>
        </w:rPr>
        <w:t xml:space="preserve">ownership </w:t>
      </w:r>
      <w:r w:rsidR="00B06B64">
        <w:rPr>
          <w:rFonts w:cs="Times New Roman"/>
          <w:sz w:val="24"/>
          <w:szCs w:val="24"/>
        </w:rPr>
        <w:t xml:space="preserve">share to interest potential buyers would be protected since their company would not have the </w:t>
      </w:r>
      <w:r w:rsidR="0080656C">
        <w:rPr>
          <w:rFonts w:cs="Times New Roman"/>
          <w:sz w:val="24"/>
          <w:szCs w:val="24"/>
        </w:rPr>
        <w:t xml:space="preserve">ability to legally adopt fee-shifting bylaws.  </w:t>
      </w:r>
      <w:r w:rsidR="00A70A3F">
        <w:rPr>
          <w:rFonts w:cs="Times New Roman"/>
          <w:sz w:val="24"/>
          <w:szCs w:val="24"/>
        </w:rPr>
        <w:t>Taking this course, however, disregard</w:t>
      </w:r>
      <w:r w:rsidR="00AD4CC9">
        <w:rPr>
          <w:rFonts w:cs="Times New Roman"/>
          <w:sz w:val="24"/>
          <w:szCs w:val="24"/>
        </w:rPr>
        <w:t>s</w:t>
      </w:r>
      <w:r w:rsidR="00A70A3F">
        <w:rPr>
          <w:rFonts w:cs="Times New Roman"/>
          <w:sz w:val="24"/>
          <w:szCs w:val="24"/>
        </w:rPr>
        <w:t xml:space="preserve"> </w:t>
      </w:r>
      <w:r w:rsidR="00832381">
        <w:rPr>
          <w:rFonts w:cs="Times New Roman"/>
          <w:sz w:val="24"/>
          <w:szCs w:val="24"/>
        </w:rPr>
        <w:t xml:space="preserve">that stock illiquidity is a natural consequence of </w:t>
      </w:r>
      <w:r w:rsidR="00A70A3F">
        <w:rPr>
          <w:rFonts w:cs="Times New Roman"/>
          <w:sz w:val="24"/>
          <w:szCs w:val="24"/>
        </w:rPr>
        <w:t xml:space="preserve">the minority shareholder's </w:t>
      </w:r>
      <w:r w:rsidR="00966F6F">
        <w:rPr>
          <w:rFonts w:cs="Times New Roman"/>
          <w:sz w:val="24"/>
          <w:szCs w:val="24"/>
        </w:rPr>
        <w:t xml:space="preserve">ownership </w:t>
      </w:r>
      <w:r w:rsidR="00266A82">
        <w:rPr>
          <w:rFonts w:cs="Times New Roman"/>
          <w:sz w:val="24"/>
          <w:szCs w:val="24"/>
        </w:rPr>
        <w:t>interest in a close corporation.</w:t>
      </w:r>
    </w:p>
    <w:p w14:paraId="4A6EF21F" w14:textId="47E112EB" w:rsidR="000A1C5D" w:rsidRPr="001E6F3C" w:rsidRDefault="00AF65C7" w:rsidP="00316553">
      <w:pPr>
        <w:widowControl w:val="0"/>
        <w:spacing w:line="480" w:lineRule="auto"/>
        <w:ind w:firstLine="720"/>
        <w:jc w:val="both"/>
        <w:rPr>
          <w:rFonts w:cs="Times New Roman"/>
          <w:sz w:val="24"/>
          <w:szCs w:val="24"/>
        </w:rPr>
      </w:pPr>
      <w:r>
        <w:rPr>
          <w:rFonts w:cs="Times New Roman"/>
          <w:sz w:val="24"/>
          <w:szCs w:val="24"/>
        </w:rPr>
        <w:t>Third</w:t>
      </w:r>
      <w:r w:rsidR="00D201A8">
        <w:rPr>
          <w:rFonts w:cs="Times New Roman"/>
          <w:sz w:val="24"/>
          <w:szCs w:val="24"/>
        </w:rPr>
        <w:t>, t</w:t>
      </w:r>
      <w:r w:rsidR="00D92852">
        <w:rPr>
          <w:rFonts w:cs="Times New Roman"/>
          <w:sz w:val="24"/>
          <w:szCs w:val="24"/>
        </w:rPr>
        <w:t xml:space="preserve">o address concerns that </w:t>
      </w:r>
      <w:r w:rsidR="001F5467">
        <w:rPr>
          <w:rFonts w:cs="Times New Roman"/>
          <w:sz w:val="24"/>
          <w:szCs w:val="24"/>
        </w:rPr>
        <w:t xml:space="preserve">boards are able to adopt fee-shifting bylaws unilaterally, </w:t>
      </w:r>
      <w:r w:rsidR="00090BC9">
        <w:rPr>
          <w:rFonts w:cs="Times New Roman"/>
          <w:sz w:val="24"/>
          <w:szCs w:val="24"/>
        </w:rPr>
        <w:t xml:space="preserve">it may be helpful </w:t>
      </w:r>
      <w:r w:rsidR="00746B05">
        <w:rPr>
          <w:rFonts w:cs="Times New Roman"/>
          <w:sz w:val="24"/>
          <w:szCs w:val="24"/>
        </w:rPr>
        <w:t xml:space="preserve">for the legislature </w:t>
      </w:r>
      <w:r w:rsidR="00090BC9">
        <w:rPr>
          <w:rFonts w:cs="Times New Roman"/>
          <w:sz w:val="24"/>
          <w:szCs w:val="24"/>
        </w:rPr>
        <w:t>to prohibit corporations fro</w:t>
      </w:r>
      <w:r w:rsidR="000D4DBF">
        <w:rPr>
          <w:rFonts w:cs="Times New Roman"/>
          <w:sz w:val="24"/>
          <w:szCs w:val="24"/>
        </w:rPr>
        <w:t>m adopting retroactive fee-shifting bylaws.</w:t>
      </w:r>
      <w:r w:rsidR="00674583">
        <w:rPr>
          <w:rFonts w:cs="Times New Roman"/>
          <w:sz w:val="24"/>
          <w:szCs w:val="24"/>
        </w:rPr>
        <w:t xml:space="preserve">  </w:t>
      </w:r>
      <w:r w:rsidR="00E6074D">
        <w:rPr>
          <w:rFonts w:cs="Times New Roman"/>
          <w:sz w:val="24"/>
          <w:szCs w:val="24"/>
        </w:rPr>
        <w:t>For example,</w:t>
      </w:r>
      <w:r w:rsidR="00E16181">
        <w:rPr>
          <w:rFonts w:cs="Times New Roman"/>
          <w:sz w:val="24"/>
          <w:szCs w:val="24"/>
        </w:rPr>
        <w:t xml:space="preserve"> in the Hemispherx litigation, </w:t>
      </w:r>
      <w:r w:rsidR="00EC439F">
        <w:rPr>
          <w:rFonts w:cs="Times New Roman"/>
          <w:sz w:val="24"/>
          <w:szCs w:val="24"/>
        </w:rPr>
        <w:t xml:space="preserve">the plaintiffs expressed concern that the board adopted fee-shifting bylaws </w:t>
      </w:r>
      <w:r w:rsidR="004F7119">
        <w:rPr>
          <w:rFonts w:cs="Times New Roman"/>
          <w:sz w:val="24"/>
          <w:szCs w:val="24"/>
        </w:rPr>
        <w:t>after the plaintiffs</w:t>
      </w:r>
      <w:r w:rsidR="00C347D0">
        <w:rPr>
          <w:rFonts w:cs="Times New Roman"/>
          <w:sz w:val="24"/>
          <w:szCs w:val="24"/>
        </w:rPr>
        <w:t xml:space="preserve"> filed their complaint.</w:t>
      </w:r>
      <w:r w:rsidR="00C347D0">
        <w:rPr>
          <w:rStyle w:val="FootnoteReference"/>
          <w:rFonts w:cs="Times New Roman"/>
          <w:sz w:val="24"/>
          <w:szCs w:val="24"/>
        </w:rPr>
        <w:footnoteReference w:id="160"/>
      </w:r>
      <w:r w:rsidR="00AE4543">
        <w:rPr>
          <w:rFonts w:cs="Times New Roman"/>
          <w:sz w:val="24"/>
          <w:szCs w:val="24"/>
        </w:rPr>
        <w:t xml:space="preserve">  </w:t>
      </w:r>
      <w:r w:rsidR="00492BFF">
        <w:rPr>
          <w:rFonts w:cs="Times New Roman"/>
          <w:sz w:val="24"/>
          <w:szCs w:val="24"/>
        </w:rPr>
        <w:t>The legislature could require that fee-shifting provision</w:t>
      </w:r>
      <w:r w:rsidR="00A41EBE">
        <w:rPr>
          <w:rFonts w:cs="Times New Roman"/>
          <w:sz w:val="24"/>
          <w:szCs w:val="24"/>
        </w:rPr>
        <w:t>s</w:t>
      </w:r>
      <w:r w:rsidR="00492BFF">
        <w:rPr>
          <w:rFonts w:cs="Times New Roman"/>
          <w:sz w:val="24"/>
          <w:szCs w:val="24"/>
        </w:rPr>
        <w:t xml:space="preserve"> be </w:t>
      </w:r>
      <w:r w:rsidR="00A41EBE">
        <w:rPr>
          <w:rFonts w:cs="Times New Roman"/>
          <w:sz w:val="24"/>
          <w:szCs w:val="24"/>
        </w:rPr>
        <w:t>prospective only</w:t>
      </w:r>
      <w:r w:rsidR="00492BFF">
        <w:rPr>
          <w:rFonts w:cs="Times New Roman"/>
          <w:sz w:val="24"/>
          <w:szCs w:val="24"/>
        </w:rPr>
        <w:t xml:space="preserve"> to prevent board</w:t>
      </w:r>
      <w:r w:rsidR="00BA7DC3">
        <w:rPr>
          <w:rFonts w:cs="Times New Roman"/>
          <w:sz w:val="24"/>
          <w:szCs w:val="24"/>
        </w:rPr>
        <w:t>s</w:t>
      </w:r>
      <w:r w:rsidR="00492BFF">
        <w:rPr>
          <w:rFonts w:cs="Times New Roman"/>
          <w:sz w:val="24"/>
          <w:szCs w:val="24"/>
        </w:rPr>
        <w:t xml:space="preserve"> from using </w:t>
      </w:r>
      <w:r w:rsidR="008970FD">
        <w:rPr>
          <w:rFonts w:cs="Times New Roman"/>
          <w:sz w:val="24"/>
          <w:szCs w:val="24"/>
        </w:rPr>
        <w:t>fee shifting</w:t>
      </w:r>
      <w:r w:rsidR="00492BFF">
        <w:rPr>
          <w:rFonts w:cs="Times New Roman"/>
          <w:sz w:val="24"/>
          <w:szCs w:val="24"/>
        </w:rPr>
        <w:t xml:space="preserve"> </w:t>
      </w:r>
      <w:r w:rsidR="006444B5">
        <w:rPr>
          <w:rFonts w:cs="Times New Roman"/>
          <w:sz w:val="24"/>
          <w:szCs w:val="24"/>
        </w:rPr>
        <w:t>as leverage</w:t>
      </w:r>
      <w:r w:rsidR="00FC5DC5">
        <w:rPr>
          <w:rFonts w:cs="Times New Roman"/>
          <w:sz w:val="24"/>
          <w:szCs w:val="24"/>
        </w:rPr>
        <w:t xml:space="preserve"> against </w:t>
      </w:r>
      <w:r w:rsidR="00BD1595">
        <w:rPr>
          <w:rFonts w:cs="Times New Roman"/>
          <w:sz w:val="24"/>
          <w:szCs w:val="24"/>
        </w:rPr>
        <w:t xml:space="preserve">existing </w:t>
      </w:r>
      <w:r w:rsidR="006444B5">
        <w:rPr>
          <w:rFonts w:cs="Times New Roman"/>
          <w:sz w:val="24"/>
          <w:szCs w:val="24"/>
        </w:rPr>
        <w:t>plaintiffs</w:t>
      </w:r>
      <w:r w:rsidR="00B02EE5">
        <w:rPr>
          <w:rFonts w:cs="Times New Roman"/>
          <w:sz w:val="24"/>
          <w:szCs w:val="24"/>
        </w:rPr>
        <w:t>.</w:t>
      </w:r>
    </w:p>
    <w:p w14:paraId="4000F073" w14:textId="065AA663" w:rsidR="00FD1373" w:rsidRPr="005309F8" w:rsidRDefault="00FD1373" w:rsidP="00316553">
      <w:pPr>
        <w:spacing w:line="480" w:lineRule="auto"/>
        <w:jc w:val="both"/>
        <w:rPr>
          <w:sz w:val="24"/>
          <w:szCs w:val="24"/>
        </w:rPr>
      </w:pPr>
      <w:r w:rsidRPr="005309F8">
        <w:rPr>
          <w:sz w:val="24"/>
          <w:szCs w:val="24"/>
        </w:rPr>
        <w:tab/>
      </w:r>
      <w:r w:rsidR="008E2636">
        <w:rPr>
          <w:sz w:val="24"/>
          <w:szCs w:val="24"/>
        </w:rPr>
        <w:t>Fourth</w:t>
      </w:r>
      <w:r w:rsidR="00D201A8" w:rsidRPr="005309F8">
        <w:rPr>
          <w:sz w:val="24"/>
          <w:szCs w:val="24"/>
        </w:rPr>
        <w:t>, o</w:t>
      </w:r>
      <w:r w:rsidR="00594472" w:rsidRPr="005309F8">
        <w:rPr>
          <w:sz w:val="24"/>
          <w:szCs w:val="24"/>
        </w:rPr>
        <w:t>ne</w:t>
      </w:r>
      <w:r w:rsidR="005D3529" w:rsidRPr="005309F8">
        <w:rPr>
          <w:sz w:val="24"/>
          <w:szCs w:val="24"/>
        </w:rPr>
        <w:t xml:space="preserve"> way to </w:t>
      </w:r>
      <w:r w:rsidR="00CC59D5" w:rsidRPr="005309F8">
        <w:rPr>
          <w:sz w:val="24"/>
          <w:szCs w:val="24"/>
        </w:rPr>
        <w:t xml:space="preserve">balance the interests of shareholders in </w:t>
      </w:r>
      <w:r w:rsidR="00711D6A" w:rsidRPr="005309F8">
        <w:rPr>
          <w:sz w:val="24"/>
          <w:szCs w:val="24"/>
        </w:rPr>
        <w:t>not being exposed to liability without their consent</w:t>
      </w:r>
      <w:r w:rsidR="00290CF6" w:rsidRPr="005309F8">
        <w:rPr>
          <w:rStyle w:val="FootnoteReference"/>
          <w:sz w:val="24"/>
          <w:szCs w:val="24"/>
        </w:rPr>
        <w:footnoteReference w:id="161"/>
      </w:r>
      <w:r w:rsidR="00711D6A" w:rsidRPr="005309F8">
        <w:rPr>
          <w:sz w:val="24"/>
          <w:szCs w:val="24"/>
        </w:rPr>
        <w:t xml:space="preserve"> with the interest of corporations in deterring frivolous litigation</w:t>
      </w:r>
      <w:r w:rsidR="00290CF6" w:rsidRPr="005309F8">
        <w:rPr>
          <w:rStyle w:val="FootnoteReference"/>
          <w:sz w:val="24"/>
          <w:szCs w:val="24"/>
        </w:rPr>
        <w:footnoteReference w:id="162"/>
      </w:r>
      <w:r w:rsidR="00711D6A" w:rsidRPr="005309F8">
        <w:rPr>
          <w:sz w:val="24"/>
          <w:szCs w:val="24"/>
        </w:rPr>
        <w:t xml:space="preserve"> </w:t>
      </w:r>
      <w:r w:rsidR="00566AE1" w:rsidRPr="005309F8">
        <w:rPr>
          <w:sz w:val="24"/>
          <w:szCs w:val="24"/>
        </w:rPr>
        <w:t xml:space="preserve">would be to </w:t>
      </w:r>
      <w:r w:rsidR="005D3529" w:rsidRPr="005309F8">
        <w:rPr>
          <w:sz w:val="24"/>
          <w:szCs w:val="24"/>
        </w:rPr>
        <w:t xml:space="preserve">require that any provision </w:t>
      </w:r>
      <w:r w:rsidR="00F8553C" w:rsidRPr="005309F8">
        <w:rPr>
          <w:sz w:val="24"/>
          <w:szCs w:val="24"/>
        </w:rPr>
        <w:t xml:space="preserve">imposing liability for corporate legal fees </w:t>
      </w:r>
      <w:r w:rsidR="00A23F0B" w:rsidRPr="005309F8">
        <w:rPr>
          <w:sz w:val="24"/>
          <w:szCs w:val="24"/>
        </w:rPr>
        <w:t xml:space="preserve">be </w:t>
      </w:r>
      <w:r w:rsidR="009324E5" w:rsidRPr="005309F8">
        <w:rPr>
          <w:sz w:val="24"/>
          <w:szCs w:val="24"/>
        </w:rPr>
        <w:t>placed i</w:t>
      </w:r>
      <w:r w:rsidR="000C7976" w:rsidRPr="005309F8">
        <w:rPr>
          <w:sz w:val="24"/>
          <w:szCs w:val="24"/>
        </w:rPr>
        <w:t xml:space="preserve">n the Articles of Incorporation in order to be </w:t>
      </w:r>
      <w:r w:rsidR="00E63007" w:rsidRPr="005309F8">
        <w:rPr>
          <w:sz w:val="24"/>
          <w:szCs w:val="24"/>
        </w:rPr>
        <w:t>enforceable</w:t>
      </w:r>
      <w:r w:rsidR="000C7976" w:rsidRPr="005309F8">
        <w:rPr>
          <w:sz w:val="24"/>
          <w:szCs w:val="24"/>
        </w:rPr>
        <w:t>.</w:t>
      </w:r>
      <w:r w:rsidR="009E420D">
        <w:rPr>
          <w:rStyle w:val="FootnoteReference"/>
          <w:sz w:val="24"/>
          <w:szCs w:val="24"/>
        </w:rPr>
        <w:footnoteReference w:id="163"/>
      </w:r>
      <w:r w:rsidR="000C7976" w:rsidRPr="005309F8">
        <w:rPr>
          <w:sz w:val="24"/>
          <w:szCs w:val="24"/>
        </w:rPr>
        <w:t xml:space="preserve">  </w:t>
      </w:r>
      <w:r w:rsidR="00CA4C67" w:rsidRPr="005309F8">
        <w:rPr>
          <w:sz w:val="24"/>
          <w:szCs w:val="24"/>
        </w:rPr>
        <w:t>Because an amendment to the Articles requires a shareholder vote,</w:t>
      </w:r>
      <w:r w:rsidR="00CA4C67" w:rsidRPr="005309F8">
        <w:rPr>
          <w:rStyle w:val="FootnoteReference"/>
          <w:sz w:val="24"/>
          <w:szCs w:val="24"/>
        </w:rPr>
        <w:footnoteReference w:id="164"/>
      </w:r>
      <w:r w:rsidR="00CA4C67" w:rsidRPr="005309F8">
        <w:rPr>
          <w:sz w:val="24"/>
          <w:szCs w:val="24"/>
        </w:rPr>
        <w:t xml:space="preserve"> </w:t>
      </w:r>
      <w:r w:rsidR="00D477B7" w:rsidRPr="005309F8">
        <w:rPr>
          <w:sz w:val="24"/>
          <w:szCs w:val="24"/>
        </w:rPr>
        <w:t xml:space="preserve">any fee-shifting provision that </w:t>
      </w:r>
      <w:r w:rsidR="00562F32">
        <w:rPr>
          <w:sz w:val="24"/>
          <w:szCs w:val="24"/>
        </w:rPr>
        <w:t>a</w:t>
      </w:r>
      <w:r w:rsidR="00D477B7" w:rsidRPr="005309F8">
        <w:rPr>
          <w:sz w:val="24"/>
          <w:szCs w:val="24"/>
        </w:rPr>
        <w:t xml:space="preserve"> board seeks to impose would have to be submitted to the shareholders and affirmatively agreed to by a majority of them.</w:t>
      </w:r>
      <w:r w:rsidR="001E6FC1" w:rsidRPr="005309F8">
        <w:rPr>
          <w:sz w:val="24"/>
          <w:szCs w:val="24"/>
        </w:rPr>
        <w:t xml:space="preserve">  </w:t>
      </w:r>
      <w:r w:rsidR="00C25A86" w:rsidRPr="005309F8">
        <w:rPr>
          <w:sz w:val="24"/>
          <w:szCs w:val="24"/>
        </w:rPr>
        <w:t xml:space="preserve">In addition, placing the fee-shifting provision in the Articles provides effective notice to potential investors.  </w:t>
      </w:r>
      <w:r w:rsidR="00CF37E3" w:rsidRPr="005309F8">
        <w:rPr>
          <w:sz w:val="24"/>
          <w:szCs w:val="24"/>
        </w:rPr>
        <w:t>Investors would know to look for them there</w:t>
      </w:r>
      <w:r w:rsidR="00A736DA">
        <w:rPr>
          <w:sz w:val="24"/>
          <w:szCs w:val="24"/>
        </w:rPr>
        <w:t xml:space="preserve">, especially </w:t>
      </w:r>
      <w:r w:rsidR="00D02AD2">
        <w:rPr>
          <w:sz w:val="24"/>
          <w:szCs w:val="24"/>
        </w:rPr>
        <w:t xml:space="preserve">in the wake of </w:t>
      </w:r>
      <w:r w:rsidR="00D02AD2">
        <w:rPr>
          <w:i/>
          <w:sz w:val="24"/>
          <w:szCs w:val="24"/>
        </w:rPr>
        <w:t>ATP Tour</w:t>
      </w:r>
      <w:r w:rsidR="00D02AD2">
        <w:rPr>
          <w:sz w:val="24"/>
          <w:szCs w:val="24"/>
        </w:rPr>
        <w:t xml:space="preserve"> when</w:t>
      </w:r>
      <w:r w:rsidR="00B41895">
        <w:rPr>
          <w:sz w:val="24"/>
          <w:szCs w:val="24"/>
        </w:rPr>
        <w:t xml:space="preserve"> discussion of fee-shifting bylaws has become widespread</w:t>
      </w:r>
      <w:r w:rsidR="00B56D13" w:rsidRPr="005309F8">
        <w:rPr>
          <w:sz w:val="24"/>
          <w:szCs w:val="24"/>
        </w:rPr>
        <w:t>.</w:t>
      </w:r>
      <w:r w:rsidR="00F6181B">
        <w:rPr>
          <w:sz w:val="24"/>
          <w:szCs w:val="24"/>
        </w:rPr>
        <w:t xml:space="preserve"> </w:t>
      </w:r>
      <w:r w:rsidR="00B56D13" w:rsidRPr="005309F8">
        <w:rPr>
          <w:sz w:val="24"/>
          <w:szCs w:val="24"/>
        </w:rPr>
        <w:t xml:space="preserve"> </w:t>
      </w:r>
      <w:r w:rsidR="00142D75">
        <w:rPr>
          <w:sz w:val="24"/>
          <w:szCs w:val="24"/>
        </w:rPr>
        <w:t>Once</w:t>
      </w:r>
      <w:r w:rsidR="00383B5C" w:rsidRPr="005309F8">
        <w:rPr>
          <w:sz w:val="24"/>
          <w:szCs w:val="24"/>
        </w:rPr>
        <w:t xml:space="preserve"> a company has enacted a fee-shifting provision, </w:t>
      </w:r>
      <w:r w:rsidR="00B832A9" w:rsidRPr="005309F8">
        <w:rPr>
          <w:sz w:val="24"/>
          <w:szCs w:val="24"/>
        </w:rPr>
        <w:t xml:space="preserve">investors may be less likely to buy shares, bringing the share price down and thereby discouraging </w:t>
      </w:r>
      <w:r w:rsidR="00035504" w:rsidRPr="005309F8">
        <w:rPr>
          <w:sz w:val="24"/>
          <w:szCs w:val="24"/>
        </w:rPr>
        <w:t>the use of fee shifting.</w:t>
      </w:r>
    </w:p>
    <w:p w14:paraId="3A2F2EBA" w14:textId="4076DD2A" w:rsidR="00D954D2" w:rsidRDefault="00B112FA" w:rsidP="00316553">
      <w:pPr>
        <w:spacing w:line="480" w:lineRule="auto"/>
        <w:jc w:val="both"/>
        <w:rPr>
          <w:sz w:val="24"/>
          <w:szCs w:val="24"/>
        </w:rPr>
      </w:pPr>
      <w:r w:rsidRPr="00DD1E82">
        <w:rPr>
          <w:sz w:val="24"/>
          <w:szCs w:val="24"/>
        </w:rPr>
        <w:tab/>
      </w:r>
      <w:r w:rsidR="003C10FA">
        <w:rPr>
          <w:sz w:val="24"/>
          <w:szCs w:val="24"/>
        </w:rPr>
        <w:t xml:space="preserve">This solution is certainly not perfect. </w:t>
      </w:r>
      <w:r w:rsidR="005F6A36">
        <w:rPr>
          <w:sz w:val="24"/>
          <w:szCs w:val="24"/>
        </w:rPr>
        <w:t xml:space="preserve"> </w:t>
      </w:r>
      <w:r w:rsidR="00584411">
        <w:rPr>
          <w:sz w:val="24"/>
          <w:szCs w:val="24"/>
        </w:rPr>
        <w:t>The board or the shareholders can amend bylaws</w:t>
      </w:r>
      <w:r w:rsidR="005E6FA7">
        <w:rPr>
          <w:sz w:val="24"/>
          <w:szCs w:val="24"/>
        </w:rPr>
        <w:t xml:space="preserve"> unilaterally</w:t>
      </w:r>
      <w:r w:rsidR="005F6A36">
        <w:rPr>
          <w:sz w:val="24"/>
          <w:szCs w:val="24"/>
        </w:rPr>
        <w:t>, but amending the Articles requires a board resolution and a shareholder vote</w:t>
      </w:r>
      <w:r w:rsidR="005E6FA7">
        <w:rPr>
          <w:sz w:val="24"/>
          <w:szCs w:val="24"/>
        </w:rPr>
        <w:t xml:space="preserve">.  </w:t>
      </w:r>
      <w:r w:rsidR="001E29F0">
        <w:rPr>
          <w:sz w:val="24"/>
          <w:szCs w:val="24"/>
        </w:rPr>
        <w:t xml:space="preserve">Accordingly, although a fee-shifting provision is more difficult to enact if it must be in the Articles, it would also be more difficult </w:t>
      </w:r>
      <w:r w:rsidR="00BB3A35">
        <w:rPr>
          <w:sz w:val="24"/>
          <w:szCs w:val="24"/>
        </w:rPr>
        <w:t xml:space="preserve">for the shareholders </w:t>
      </w:r>
      <w:r w:rsidR="001E29F0">
        <w:rPr>
          <w:sz w:val="24"/>
          <w:szCs w:val="24"/>
        </w:rPr>
        <w:t>to undo</w:t>
      </w:r>
      <w:r w:rsidR="00EC0711">
        <w:rPr>
          <w:sz w:val="24"/>
          <w:szCs w:val="24"/>
        </w:rPr>
        <w:t xml:space="preserve"> without cooperation from the board</w:t>
      </w:r>
      <w:r w:rsidR="001E29F0">
        <w:rPr>
          <w:sz w:val="24"/>
          <w:szCs w:val="24"/>
        </w:rPr>
        <w:t>.</w:t>
      </w:r>
      <w:r w:rsidR="00923C14">
        <w:rPr>
          <w:rStyle w:val="FootnoteReference"/>
          <w:sz w:val="24"/>
          <w:szCs w:val="24"/>
        </w:rPr>
        <w:footnoteReference w:id="165"/>
      </w:r>
      <w:r w:rsidR="007401D4">
        <w:rPr>
          <w:sz w:val="24"/>
          <w:szCs w:val="24"/>
        </w:rPr>
        <w:t xml:space="preserve"> </w:t>
      </w:r>
      <w:r w:rsidR="00E628BC">
        <w:rPr>
          <w:sz w:val="24"/>
          <w:szCs w:val="24"/>
        </w:rPr>
        <w:t xml:space="preserve"> </w:t>
      </w:r>
      <w:r w:rsidR="00391843">
        <w:rPr>
          <w:sz w:val="24"/>
          <w:szCs w:val="24"/>
        </w:rPr>
        <w:t>T</w:t>
      </w:r>
      <w:r w:rsidR="00D954D2">
        <w:rPr>
          <w:sz w:val="24"/>
          <w:szCs w:val="24"/>
        </w:rPr>
        <w:t xml:space="preserve">his tradeoff </w:t>
      </w:r>
      <w:r w:rsidR="00391843">
        <w:rPr>
          <w:sz w:val="24"/>
          <w:szCs w:val="24"/>
        </w:rPr>
        <w:t>may be</w:t>
      </w:r>
      <w:r w:rsidR="00D954D2">
        <w:rPr>
          <w:sz w:val="24"/>
          <w:szCs w:val="24"/>
        </w:rPr>
        <w:t xml:space="preserve"> worth the additional </w:t>
      </w:r>
      <w:r w:rsidR="004F7996">
        <w:rPr>
          <w:sz w:val="24"/>
          <w:szCs w:val="24"/>
        </w:rPr>
        <w:t>protection provided by ensuring that fee-shifting provisions cannot be thrust upon a corporation's shareholders without their consent.</w:t>
      </w:r>
    </w:p>
    <w:p w14:paraId="39842E10" w14:textId="7F8F8E7B" w:rsidR="00B112FA" w:rsidRDefault="00AE0B6D" w:rsidP="00316553">
      <w:pPr>
        <w:spacing w:line="480" w:lineRule="auto"/>
        <w:ind w:firstLine="720"/>
        <w:jc w:val="both"/>
        <w:rPr>
          <w:sz w:val="24"/>
          <w:szCs w:val="24"/>
        </w:rPr>
      </w:pPr>
      <w:r>
        <w:rPr>
          <w:sz w:val="24"/>
          <w:szCs w:val="24"/>
        </w:rPr>
        <w:t>In addition</w:t>
      </w:r>
      <w:r w:rsidR="00D03730">
        <w:rPr>
          <w:sz w:val="24"/>
          <w:szCs w:val="24"/>
        </w:rPr>
        <w:t xml:space="preserve">, this solution only </w:t>
      </w:r>
      <w:r w:rsidR="00AB0E78">
        <w:rPr>
          <w:sz w:val="24"/>
          <w:szCs w:val="24"/>
        </w:rPr>
        <w:t xml:space="preserve">requires consent </w:t>
      </w:r>
      <w:r w:rsidR="00D12A02">
        <w:rPr>
          <w:sz w:val="24"/>
          <w:szCs w:val="24"/>
        </w:rPr>
        <w:t>from</w:t>
      </w:r>
      <w:r w:rsidR="00D03730">
        <w:rPr>
          <w:sz w:val="24"/>
          <w:szCs w:val="24"/>
        </w:rPr>
        <w:t xml:space="preserve"> shareholders of </w:t>
      </w:r>
      <w:r w:rsidR="00992E90">
        <w:rPr>
          <w:sz w:val="24"/>
          <w:szCs w:val="24"/>
        </w:rPr>
        <w:t>existing public corporations.  Some c</w:t>
      </w:r>
      <w:r w:rsidR="00D03730">
        <w:rPr>
          <w:sz w:val="24"/>
          <w:szCs w:val="24"/>
        </w:rPr>
        <w:t>orporations planning initial public offering</w:t>
      </w:r>
      <w:r w:rsidR="006E52CF">
        <w:rPr>
          <w:sz w:val="24"/>
          <w:szCs w:val="24"/>
        </w:rPr>
        <w:t>s</w:t>
      </w:r>
      <w:r w:rsidR="00D03730">
        <w:rPr>
          <w:sz w:val="24"/>
          <w:szCs w:val="24"/>
        </w:rPr>
        <w:t xml:space="preserve"> have quietly included fee-shifting provision</w:t>
      </w:r>
      <w:r w:rsidR="00010DBA">
        <w:rPr>
          <w:sz w:val="24"/>
          <w:szCs w:val="24"/>
        </w:rPr>
        <w:t>s in their governing</w:t>
      </w:r>
      <w:r w:rsidR="003A0D03">
        <w:rPr>
          <w:sz w:val="24"/>
          <w:szCs w:val="24"/>
        </w:rPr>
        <w:t xml:space="preserve"> documents.</w:t>
      </w:r>
      <w:r w:rsidR="003A0D03">
        <w:rPr>
          <w:rStyle w:val="FootnoteReference"/>
          <w:sz w:val="24"/>
          <w:szCs w:val="24"/>
        </w:rPr>
        <w:footnoteReference w:id="166"/>
      </w:r>
      <w:r w:rsidR="00E60217">
        <w:rPr>
          <w:sz w:val="24"/>
          <w:szCs w:val="24"/>
        </w:rPr>
        <w:t xml:space="preserve">  </w:t>
      </w:r>
      <w:r w:rsidR="007721B3">
        <w:rPr>
          <w:sz w:val="24"/>
          <w:szCs w:val="24"/>
        </w:rPr>
        <w:t xml:space="preserve">Investors therefore may not </w:t>
      </w:r>
      <w:r w:rsidR="0064120B">
        <w:rPr>
          <w:sz w:val="24"/>
          <w:szCs w:val="24"/>
        </w:rPr>
        <w:t>have</w:t>
      </w:r>
      <w:r w:rsidR="007721B3">
        <w:rPr>
          <w:sz w:val="24"/>
          <w:szCs w:val="24"/>
        </w:rPr>
        <w:t xml:space="preserve"> sufficient notice </w:t>
      </w:r>
      <w:r w:rsidR="00A91FD4">
        <w:rPr>
          <w:sz w:val="24"/>
          <w:szCs w:val="24"/>
        </w:rPr>
        <w:t xml:space="preserve">of the provision </w:t>
      </w:r>
      <w:r w:rsidR="007721B3">
        <w:rPr>
          <w:sz w:val="24"/>
          <w:szCs w:val="24"/>
        </w:rPr>
        <w:t xml:space="preserve">to create meaningful consent.  </w:t>
      </w:r>
      <w:r w:rsidR="00170C20">
        <w:rPr>
          <w:sz w:val="24"/>
          <w:szCs w:val="24"/>
        </w:rPr>
        <w:t xml:space="preserve">However, investors who are able to </w:t>
      </w:r>
      <w:r w:rsidR="00EB0C95">
        <w:rPr>
          <w:sz w:val="24"/>
          <w:szCs w:val="24"/>
        </w:rPr>
        <w:t>participate</w:t>
      </w:r>
      <w:r w:rsidR="00170C20">
        <w:rPr>
          <w:sz w:val="24"/>
          <w:szCs w:val="24"/>
        </w:rPr>
        <w:t xml:space="preserve"> in an IPO (such as institutional investors) are likely sufficiently sophisticated to closely scrutinize charter documents for any provision that may</w:t>
      </w:r>
      <w:r w:rsidR="00E44A97">
        <w:rPr>
          <w:sz w:val="24"/>
          <w:szCs w:val="24"/>
        </w:rPr>
        <w:t xml:space="preserve"> be detrimental to shareholders, especially now that the corporate world has taken notice of fee-shifting bylaws post-</w:t>
      </w:r>
      <w:r w:rsidR="00E44A97">
        <w:rPr>
          <w:i/>
          <w:sz w:val="24"/>
          <w:szCs w:val="24"/>
        </w:rPr>
        <w:t>ATP Tour</w:t>
      </w:r>
      <w:r w:rsidR="00E44A97">
        <w:rPr>
          <w:sz w:val="24"/>
          <w:szCs w:val="24"/>
        </w:rPr>
        <w:t>.</w:t>
      </w:r>
      <w:r w:rsidR="002023A5">
        <w:rPr>
          <w:rStyle w:val="FootnoteReference"/>
          <w:sz w:val="24"/>
          <w:szCs w:val="24"/>
        </w:rPr>
        <w:footnoteReference w:id="167"/>
      </w:r>
      <w:r w:rsidR="00170C20">
        <w:rPr>
          <w:sz w:val="24"/>
          <w:szCs w:val="24"/>
        </w:rPr>
        <w:t xml:space="preserve">  </w:t>
      </w:r>
      <w:r w:rsidR="001E3334">
        <w:rPr>
          <w:sz w:val="24"/>
          <w:szCs w:val="24"/>
        </w:rPr>
        <w:t xml:space="preserve">Moreover, </w:t>
      </w:r>
      <w:r w:rsidR="004562A0">
        <w:rPr>
          <w:sz w:val="24"/>
          <w:szCs w:val="24"/>
        </w:rPr>
        <w:t xml:space="preserve">addressing this concern may be </w:t>
      </w:r>
      <w:r w:rsidR="009605D0">
        <w:rPr>
          <w:sz w:val="24"/>
          <w:szCs w:val="24"/>
        </w:rPr>
        <w:t xml:space="preserve">more </w:t>
      </w:r>
      <w:r w:rsidR="001276ED">
        <w:rPr>
          <w:sz w:val="24"/>
          <w:szCs w:val="24"/>
        </w:rPr>
        <w:t xml:space="preserve">appropriately </w:t>
      </w:r>
      <w:r w:rsidR="009605D0">
        <w:rPr>
          <w:sz w:val="24"/>
          <w:szCs w:val="24"/>
        </w:rPr>
        <w:t xml:space="preserve">within the </w:t>
      </w:r>
      <w:r w:rsidR="00B55BF8">
        <w:rPr>
          <w:sz w:val="24"/>
          <w:szCs w:val="24"/>
        </w:rPr>
        <w:t>domain</w:t>
      </w:r>
      <w:r w:rsidR="009605D0">
        <w:rPr>
          <w:sz w:val="24"/>
          <w:szCs w:val="24"/>
        </w:rPr>
        <w:t xml:space="preserve"> of the Securities and Exchange Commission, which has the power to mand</w:t>
      </w:r>
      <w:r w:rsidR="00A37168">
        <w:rPr>
          <w:sz w:val="24"/>
          <w:szCs w:val="24"/>
        </w:rPr>
        <w:t>ate IPO disclosure requirements</w:t>
      </w:r>
      <w:r w:rsidR="001E3334">
        <w:rPr>
          <w:sz w:val="24"/>
          <w:szCs w:val="24"/>
        </w:rPr>
        <w:t>.</w:t>
      </w:r>
      <w:r w:rsidR="00C5269E">
        <w:rPr>
          <w:rStyle w:val="FootnoteReference"/>
          <w:sz w:val="24"/>
          <w:szCs w:val="24"/>
        </w:rPr>
        <w:footnoteReference w:id="168"/>
      </w:r>
    </w:p>
    <w:p w14:paraId="353B2842" w14:textId="51777BFC" w:rsidR="00B112FA" w:rsidRPr="00DD1E82" w:rsidRDefault="00DA05FA" w:rsidP="00316553">
      <w:pPr>
        <w:spacing w:line="480" w:lineRule="auto"/>
        <w:ind w:firstLine="720"/>
        <w:jc w:val="both"/>
        <w:rPr>
          <w:sz w:val="24"/>
          <w:szCs w:val="24"/>
        </w:rPr>
      </w:pPr>
      <w:r>
        <w:rPr>
          <w:sz w:val="24"/>
          <w:szCs w:val="24"/>
        </w:rPr>
        <w:t xml:space="preserve">As the Delaware legislature continues to work toward a solution that can please both sides of the fee-shifting debate, its members will likely consider these and many other viable options.  </w:t>
      </w:r>
      <w:r w:rsidR="00C01D11">
        <w:rPr>
          <w:sz w:val="24"/>
          <w:szCs w:val="24"/>
        </w:rPr>
        <w:t xml:space="preserve">If the current </w:t>
      </w:r>
      <w:r w:rsidR="000C19DA">
        <w:rPr>
          <w:sz w:val="24"/>
          <w:szCs w:val="24"/>
        </w:rPr>
        <w:t>legislative effort fails, then a compr</w:t>
      </w:r>
      <w:r w:rsidR="00295D3D">
        <w:rPr>
          <w:sz w:val="24"/>
          <w:szCs w:val="24"/>
        </w:rPr>
        <w:t>omise app</w:t>
      </w:r>
      <w:r w:rsidR="002C71E2">
        <w:rPr>
          <w:sz w:val="24"/>
          <w:szCs w:val="24"/>
        </w:rPr>
        <w:t>r</w:t>
      </w:r>
      <w:r w:rsidR="00295D3D">
        <w:rPr>
          <w:sz w:val="24"/>
          <w:szCs w:val="24"/>
        </w:rPr>
        <w:t>oach may be required that combines</w:t>
      </w:r>
      <w:r w:rsidR="00051C9B">
        <w:rPr>
          <w:sz w:val="24"/>
          <w:szCs w:val="24"/>
        </w:rPr>
        <w:t xml:space="preserve"> aspects of </w:t>
      </w:r>
      <w:r w:rsidR="00E50B10">
        <w:rPr>
          <w:sz w:val="24"/>
          <w:szCs w:val="24"/>
        </w:rPr>
        <w:t>these various solutions.</w:t>
      </w:r>
      <w:r w:rsidR="00C01D11">
        <w:rPr>
          <w:sz w:val="24"/>
          <w:szCs w:val="24"/>
        </w:rPr>
        <w:t xml:space="preserve"> </w:t>
      </w:r>
      <w:r w:rsidR="000904FB">
        <w:rPr>
          <w:sz w:val="24"/>
          <w:szCs w:val="24"/>
        </w:rPr>
        <w:t xml:space="preserve"> </w:t>
      </w:r>
      <w:r>
        <w:rPr>
          <w:sz w:val="24"/>
          <w:szCs w:val="24"/>
        </w:rPr>
        <w:t>Of course, i</w:t>
      </w:r>
      <w:r w:rsidR="000A6698">
        <w:rPr>
          <w:sz w:val="24"/>
          <w:szCs w:val="24"/>
        </w:rPr>
        <w:t xml:space="preserve">f the current legislation </w:t>
      </w:r>
      <w:r w:rsidR="002C71E2">
        <w:rPr>
          <w:sz w:val="24"/>
          <w:szCs w:val="24"/>
        </w:rPr>
        <w:t>passes the Delaware House</w:t>
      </w:r>
      <w:r w:rsidR="000A6698">
        <w:rPr>
          <w:sz w:val="24"/>
          <w:szCs w:val="24"/>
        </w:rPr>
        <w:t xml:space="preserve">, then fee-shifting bylaws will be </w:t>
      </w:r>
      <w:r w:rsidR="001C7733">
        <w:rPr>
          <w:sz w:val="24"/>
          <w:szCs w:val="24"/>
        </w:rPr>
        <w:t xml:space="preserve">facially </w:t>
      </w:r>
      <w:r w:rsidR="000A6698">
        <w:rPr>
          <w:sz w:val="24"/>
          <w:szCs w:val="24"/>
        </w:rPr>
        <w:t xml:space="preserve">invalid as contrary to Delaware law.  Accordingly, further limits </w:t>
      </w:r>
      <w:r w:rsidR="0078418C">
        <w:rPr>
          <w:sz w:val="24"/>
          <w:szCs w:val="24"/>
        </w:rPr>
        <w:t xml:space="preserve">on the use of these bylaws </w:t>
      </w:r>
      <w:r w:rsidR="000A6698">
        <w:rPr>
          <w:sz w:val="24"/>
          <w:szCs w:val="24"/>
        </w:rPr>
        <w:t xml:space="preserve">will not be </w:t>
      </w:r>
      <w:r w:rsidR="00824044">
        <w:rPr>
          <w:sz w:val="24"/>
          <w:szCs w:val="24"/>
        </w:rPr>
        <w:t xml:space="preserve">necessary.  </w:t>
      </w:r>
      <w:r w:rsidR="00392147">
        <w:rPr>
          <w:sz w:val="24"/>
          <w:szCs w:val="24"/>
        </w:rPr>
        <w:t>M</w:t>
      </w:r>
      <w:r w:rsidR="00CE2F55">
        <w:rPr>
          <w:sz w:val="24"/>
          <w:szCs w:val="24"/>
        </w:rPr>
        <w:t xml:space="preserve">arket actors will </w:t>
      </w:r>
      <w:r w:rsidR="009C2235">
        <w:rPr>
          <w:sz w:val="24"/>
          <w:szCs w:val="24"/>
        </w:rPr>
        <w:t>then</w:t>
      </w:r>
      <w:r w:rsidR="00824044">
        <w:rPr>
          <w:sz w:val="24"/>
          <w:szCs w:val="24"/>
        </w:rPr>
        <w:t xml:space="preserve"> </w:t>
      </w:r>
      <w:r w:rsidR="009E3130">
        <w:rPr>
          <w:sz w:val="24"/>
          <w:szCs w:val="24"/>
        </w:rPr>
        <w:t>focus on</w:t>
      </w:r>
      <w:r w:rsidR="00824044">
        <w:rPr>
          <w:sz w:val="24"/>
          <w:szCs w:val="24"/>
        </w:rPr>
        <w:t xml:space="preserve"> </w:t>
      </w:r>
      <w:r w:rsidR="009E3130">
        <w:rPr>
          <w:sz w:val="24"/>
          <w:szCs w:val="24"/>
        </w:rPr>
        <w:t>developing</w:t>
      </w:r>
      <w:r w:rsidR="009D02BA">
        <w:rPr>
          <w:sz w:val="24"/>
          <w:szCs w:val="24"/>
        </w:rPr>
        <w:t xml:space="preserve"> </w:t>
      </w:r>
      <w:r w:rsidR="00824044">
        <w:rPr>
          <w:sz w:val="24"/>
          <w:szCs w:val="24"/>
        </w:rPr>
        <w:t xml:space="preserve">other mechanisms for reining in excessive litigation. </w:t>
      </w:r>
      <w:r w:rsidR="0072766D">
        <w:rPr>
          <w:sz w:val="24"/>
          <w:szCs w:val="24"/>
        </w:rPr>
        <w:t xml:space="preserve"> </w:t>
      </w:r>
    </w:p>
    <w:p w14:paraId="5A01DF3F" w14:textId="14DE4723" w:rsidR="008430C5" w:rsidRDefault="008430C5" w:rsidP="00493CC4">
      <w:pPr>
        <w:pStyle w:val="Heading1"/>
      </w:pPr>
      <w:r w:rsidRPr="00DD1E82">
        <w:t>CONCLUSION</w:t>
      </w:r>
    </w:p>
    <w:p w14:paraId="130F3AEC" w14:textId="46DF10FD" w:rsidR="00AE1778" w:rsidRDefault="00C12F1C" w:rsidP="00E560A4">
      <w:pPr>
        <w:spacing w:line="480" w:lineRule="auto"/>
        <w:ind w:firstLine="720"/>
        <w:jc w:val="both"/>
        <w:rPr>
          <w:sz w:val="24"/>
          <w:szCs w:val="24"/>
        </w:rPr>
      </w:pPr>
      <w:r>
        <w:rPr>
          <w:sz w:val="24"/>
          <w:szCs w:val="24"/>
        </w:rPr>
        <w:t xml:space="preserve">The current effort to </w:t>
      </w:r>
      <w:r w:rsidR="00156E38">
        <w:rPr>
          <w:sz w:val="24"/>
          <w:szCs w:val="24"/>
        </w:rPr>
        <w:t xml:space="preserve">legislate away fee-shifting bylaws is to be applauded for </w:t>
      </w:r>
      <w:r w:rsidR="00374108">
        <w:rPr>
          <w:sz w:val="24"/>
          <w:szCs w:val="24"/>
        </w:rPr>
        <w:t>attempting to combine</w:t>
      </w:r>
      <w:r w:rsidR="000F43E1">
        <w:rPr>
          <w:sz w:val="24"/>
          <w:szCs w:val="24"/>
        </w:rPr>
        <w:t xml:space="preserve"> strong protection of shareholder interests</w:t>
      </w:r>
      <w:r w:rsidR="00374108">
        <w:rPr>
          <w:sz w:val="24"/>
          <w:szCs w:val="24"/>
        </w:rPr>
        <w:t xml:space="preserve"> with an acknowledgement </w:t>
      </w:r>
      <w:r w:rsidR="00FF11CD">
        <w:rPr>
          <w:sz w:val="24"/>
          <w:szCs w:val="24"/>
        </w:rPr>
        <w:t xml:space="preserve">of corporate concerns in </w:t>
      </w:r>
      <w:r w:rsidR="00162FDF">
        <w:rPr>
          <w:sz w:val="24"/>
          <w:szCs w:val="24"/>
        </w:rPr>
        <w:t>the legitimization of</w:t>
      </w:r>
      <w:r w:rsidR="00FF11CD">
        <w:rPr>
          <w:sz w:val="24"/>
          <w:szCs w:val="24"/>
        </w:rPr>
        <w:t xml:space="preserve"> forum selection bylaws.</w:t>
      </w:r>
      <w:r w:rsidR="004A6A1D">
        <w:rPr>
          <w:sz w:val="24"/>
          <w:szCs w:val="24"/>
        </w:rPr>
        <w:t xml:space="preserve">  </w:t>
      </w:r>
      <w:r w:rsidR="003D5721">
        <w:rPr>
          <w:sz w:val="24"/>
          <w:szCs w:val="24"/>
        </w:rPr>
        <w:t xml:space="preserve">If it passes, then those concerned about excessive litigation will </w:t>
      </w:r>
      <w:r w:rsidR="00EE74BE">
        <w:rPr>
          <w:sz w:val="24"/>
          <w:szCs w:val="24"/>
        </w:rPr>
        <w:t xml:space="preserve">no doubt develop </w:t>
      </w:r>
      <w:r w:rsidR="006D00FB">
        <w:rPr>
          <w:sz w:val="24"/>
          <w:szCs w:val="24"/>
        </w:rPr>
        <w:t xml:space="preserve">another </w:t>
      </w:r>
      <w:r w:rsidR="004713C4">
        <w:rPr>
          <w:sz w:val="24"/>
          <w:szCs w:val="24"/>
        </w:rPr>
        <w:t xml:space="preserve">tool </w:t>
      </w:r>
      <w:r w:rsidR="00FC4854">
        <w:rPr>
          <w:sz w:val="24"/>
          <w:szCs w:val="24"/>
        </w:rPr>
        <w:t xml:space="preserve">for deterring </w:t>
      </w:r>
      <w:r w:rsidR="001E4513">
        <w:rPr>
          <w:sz w:val="24"/>
          <w:szCs w:val="24"/>
        </w:rPr>
        <w:t xml:space="preserve">frivolous shareholder lawsuits.  </w:t>
      </w:r>
      <w:r w:rsidR="00A33AAE">
        <w:rPr>
          <w:sz w:val="24"/>
          <w:szCs w:val="24"/>
        </w:rPr>
        <w:t xml:space="preserve">If it does not pass, </w:t>
      </w:r>
      <w:r w:rsidR="005A4918">
        <w:rPr>
          <w:sz w:val="24"/>
          <w:szCs w:val="24"/>
        </w:rPr>
        <w:t>then one way to generate broad support could be to adopt one or more of the moderate approaches described here.</w:t>
      </w:r>
      <w:r w:rsidR="00E560A4">
        <w:rPr>
          <w:sz w:val="24"/>
          <w:szCs w:val="24"/>
        </w:rPr>
        <w:t xml:space="preserve">  These proposals seek to </w:t>
      </w:r>
      <w:r w:rsidR="00F1484A">
        <w:rPr>
          <w:sz w:val="24"/>
          <w:szCs w:val="24"/>
        </w:rPr>
        <w:t>balance the</w:t>
      </w:r>
      <w:r w:rsidR="00476DD5">
        <w:rPr>
          <w:sz w:val="24"/>
          <w:szCs w:val="24"/>
        </w:rPr>
        <w:t xml:space="preserve"> legitimate interests of </w:t>
      </w:r>
      <w:r w:rsidR="00CA16E1">
        <w:rPr>
          <w:sz w:val="24"/>
          <w:szCs w:val="24"/>
        </w:rPr>
        <w:t xml:space="preserve">plaintiff </w:t>
      </w:r>
      <w:r w:rsidR="00343D15">
        <w:rPr>
          <w:sz w:val="24"/>
          <w:szCs w:val="24"/>
        </w:rPr>
        <w:t xml:space="preserve">shareholders </w:t>
      </w:r>
      <w:r w:rsidR="000C281B">
        <w:rPr>
          <w:sz w:val="24"/>
          <w:szCs w:val="24"/>
        </w:rPr>
        <w:t>with those of</w:t>
      </w:r>
      <w:r w:rsidR="00343D15">
        <w:rPr>
          <w:sz w:val="24"/>
          <w:szCs w:val="24"/>
        </w:rPr>
        <w:t xml:space="preserve"> the corporations </w:t>
      </w:r>
      <w:r w:rsidR="00E62E03">
        <w:rPr>
          <w:sz w:val="24"/>
          <w:szCs w:val="24"/>
        </w:rPr>
        <w:t xml:space="preserve">in which they invest.  </w:t>
      </w:r>
      <w:r w:rsidR="00F1484A">
        <w:rPr>
          <w:sz w:val="24"/>
          <w:szCs w:val="24"/>
        </w:rPr>
        <w:t>Moving forward, a</w:t>
      </w:r>
      <w:r w:rsidR="002A76A7">
        <w:rPr>
          <w:sz w:val="24"/>
          <w:szCs w:val="24"/>
        </w:rPr>
        <w:t xml:space="preserve">ny legislation that seeks to </w:t>
      </w:r>
      <w:r w:rsidR="00F1484A">
        <w:rPr>
          <w:sz w:val="24"/>
          <w:szCs w:val="24"/>
        </w:rPr>
        <w:t>protect shareholders</w:t>
      </w:r>
      <w:r w:rsidR="002A76A7">
        <w:rPr>
          <w:sz w:val="24"/>
          <w:szCs w:val="24"/>
        </w:rPr>
        <w:t xml:space="preserve"> must keep in mind the business community's concern over excessive litigation.  Likewise, </w:t>
      </w:r>
      <w:r w:rsidR="009567BC">
        <w:rPr>
          <w:sz w:val="24"/>
          <w:szCs w:val="24"/>
        </w:rPr>
        <w:t xml:space="preserve">proponents of fee-shifting bylaws must </w:t>
      </w:r>
      <w:r w:rsidR="001F7DDB">
        <w:rPr>
          <w:sz w:val="24"/>
          <w:szCs w:val="24"/>
        </w:rPr>
        <w:t xml:space="preserve">be willing to </w:t>
      </w:r>
      <w:r w:rsidR="000F7B23">
        <w:rPr>
          <w:sz w:val="24"/>
          <w:szCs w:val="24"/>
        </w:rPr>
        <w:t xml:space="preserve">agree to </w:t>
      </w:r>
      <w:r w:rsidR="002D1673">
        <w:rPr>
          <w:sz w:val="24"/>
          <w:szCs w:val="24"/>
        </w:rPr>
        <w:t xml:space="preserve">reasonable limitations </w:t>
      </w:r>
      <w:r w:rsidR="000A158A">
        <w:rPr>
          <w:sz w:val="24"/>
          <w:szCs w:val="24"/>
        </w:rPr>
        <w:t>that</w:t>
      </w:r>
      <w:r w:rsidR="00DD50CB">
        <w:rPr>
          <w:sz w:val="24"/>
          <w:szCs w:val="24"/>
        </w:rPr>
        <w:t xml:space="preserve"> </w:t>
      </w:r>
      <w:r w:rsidR="00DF4FD3">
        <w:rPr>
          <w:sz w:val="24"/>
          <w:szCs w:val="24"/>
        </w:rPr>
        <w:t>soften the</w:t>
      </w:r>
      <w:r w:rsidR="000A158A">
        <w:rPr>
          <w:sz w:val="24"/>
          <w:szCs w:val="24"/>
        </w:rPr>
        <w:t>ir</w:t>
      </w:r>
      <w:r w:rsidR="002D1673">
        <w:rPr>
          <w:sz w:val="24"/>
          <w:szCs w:val="24"/>
        </w:rPr>
        <w:t xml:space="preserve"> negative impact on plaintiff shareholders</w:t>
      </w:r>
      <w:r w:rsidR="00884BC3">
        <w:rPr>
          <w:sz w:val="24"/>
          <w:szCs w:val="24"/>
        </w:rPr>
        <w:t xml:space="preserve">, especially </w:t>
      </w:r>
      <w:r w:rsidR="0025066E">
        <w:rPr>
          <w:sz w:val="24"/>
          <w:szCs w:val="24"/>
        </w:rPr>
        <w:t>those without a ready market for their shares</w:t>
      </w:r>
      <w:r w:rsidR="002D1673">
        <w:rPr>
          <w:sz w:val="24"/>
          <w:szCs w:val="24"/>
        </w:rPr>
        <w:t xml:space="preserve">.  </w:t>
      </w:r>
      <w:r w:rsidR="00177D1D">
        <w:rPr>
          <w:sz w:val="24"/>
          <w:szCs w:val="24"/>
        </w:rPr>
        <w:t xml:space="preserve">As with </w:t>
      </w:r>
      <w:r w:rsidR="009D26E0">
        <w:rPr>
          <w:sz w:val="24"/>
          <w:szCs w:val="24"/>
        </w:rPr>
        <w:t xml:space="preserve">most policy debates, the answer likely lies somewhere in the middle ground.  </w:t>
      </w:r>
    </w:p>
    <w:p w14:paraId="191ED07B" w14:textId="4E30C018" w:rsidR="00AA4CB2" w:rsidRPr="009F7A8A" w:rsidRDefault="00AA4CB2" w:rsidP="00AA4CB2">
      <w:pPr>
        <w:spacing w:line="480" w:lineRule="auto"/>
        <w:ind w:firstLine="720"/>
        <w:jc w:val="right"/>
        <w:rPr>
          <w:sz w:val="24"/>
          <w:szCs w:val="24"/>
        </w:rPr>
      </w:pPr>
      <w:r>
        <w:rPr>
          <w:sz w:val="24"/>
          <w:szCs w:val="24"/>
        </w:rPr>
        <w:t>Jennifer P. Buckley</w:t>
      </w:r>
    </w:p>
    <w:sectPr w:rsidR="00AA4CB2" w:rsidRPr="009F7A8A" w:rsidSect="001405BC">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85839" w14:textId="77777777" w:rsidR="00060C5F" w:rsidRDefault="00060C5F" w:rsidP="001405BC">
      <w:r>
        <w:separator/>
      </w:r>
    </w:p>
    <w:p w14:paraId="23527053" w14:textId="77777777" w:rsidR="00060C5F" w:rsidRDefault="00060C5F"/>
  </w:endnote>
  <w:endnote w:type="continuationSeparator" w:id="0">
    <w:p w14:paraId="63DD42B8" w14:textId="77777777" w:rsidR="00060C5F" w:rsidRDefault="00060C5F" w:rsidP="001405BC">
      <w:r>
        <w:continuationSeparator/>
      </w:r>
    </w:p>
    <w:p w14:paraId="2C0D8673" w14:textId="77777777" w:rsidR="00060C5F" w:rsidRDefault="00060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2749" w14:textId="77777777" w:rsidR="00060C5F" w:rsidRDefault="00060C5F" w:rsidP="00CE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001C2A" w14:textId="77777777" w:rsidR="00060C5F" w:rsidRDefault="00060C5F" w:rsidP="00CE79E7">
    <w:pPr>
      <w:pStyle w:val="Footer"/>
      <w:ind w:right="360"/>
    </w:pPr>
  </w:p>
  <w:p w14:paraId="31957738" w14:textId="77777777" w:rsidR="00060C5F" w:rsidRDefault="00060C5F"/>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78805" w14:textId="77777777" w:rsidR="00060C5F" w:rsidRDefault="00060C5F" w:rsidP="00CE79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FAD">
      <w:rPr>
        <w:rStyle w:val="PageNumber"/>
        <w:noProof/>
      </w:rPr>
      <w:t>1</w:t>
    </w:r>
    <w:r>
      <w:rPr>
        <w:rStyle w:val="PageNumber"/>
      </w:rPr>
      <w:fldChar w:fldCharType="end"/>
    </w:r>
  </w:p>
  <w:p w14:paraId="154CDF84" w14:textId="77777777" w:rsidR="00060C5F" w:rsidRDefault="00060C5F" w:rsidP="00CE79E7">
    <w:pPr>
      <w:pStyle w:val="Footer"/>
      <w:ind w:right="360"/>
    </w:pPr>
  </w:p>
  <w:p w14:paraId="681312CC" w14:textId="77777777" w:rsidR="00060C5F" w:rsidRDefault="00060C5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9AE9B" w14:textId="77777777" w:rsidR="00060C5F" w:rsidRDefault="00060C5F" w:rsidP="001405BC">
      <w:r>
        <w:separator/>
      </w:r>
    </w:p>
    <w:p w14:paraId="05123FF0" w14:textId="77777777" w:rsidR="00060C5F" w:rsidRDefault="00060C5F"/>
  </w:footnote>
  <w:footnote w:type="continuationSeparator" w:id="0">
    <w:p w14:paraId="59CDBB98" w14:textId="77777777" w:rsidR="00060C5F" w:rsidRDefault="00060C5F" w:rsidP="001405BC">
      <w:r>
        <w:continuationSeparator/>
      </w:r>
    </w:p>
    <w:p w14:paraId="796789F8" w14:textId="77777777" w:rsidR="00060C5F" w:rsidRDefault="00060C5F"/>
  </w:footnote>
  <w:footnote w:id="1">
    <w:p w14:paraId="228A5876" w14:textId="1DCF27F8" w:rsidR="00060C5F" w:rsidRPr="006748B6" w:rsidRDefault="00060C5F" w:rsidP="002E612F">
      <w:pPr>
        <w:pStyle w:val="FootnoteText"/>
        <w:ind w:firstLine="720"/>
      </w:pPr>
      <w:r w:rsidRPr="006748B6">
        <w:rPr>
          <w:rStyle w:val="FootnoteReference"/>
        </w:rPr>
        <w:footnoteRef/>
      </w:r>
      <w:r w:rsidRPr="006748B6">
        <w:t>Deutscher Tennis Bund v. ATP Tour, Inc., 480 F.App'x 124, n.4 (3d Cir. 2012).</w:t>
      </w:r>
    </w:p>
  </w:footnote>
  <w:footnote w:id="2">
    <w:p w14:paraId="14C68128" w14:textId="6146BF61" w:rsidR="00060C5F" w:rsidRPr="006748B6" w:rsidRDefault="00060C5F" w:rsidP="002E612F">
      <w:pPr>
        <w:pStyle w:val="FootnoteText"/>
        <w:ind w:firstLine="720"/>
      </w:pPr>
      <w:r w:rsidRPr="006748B6">
        <w:rPr>
          <w:rStyle w:val="FootnoteReference"/>
        </w:rPr>
        <w:footnoteRef/>
      </w:r>
      <w:r w:rsidRPr="006748B6">
        <w:t>ATP Tour, Inc. v. Deutscher Tennis Bund, 91 A.3d 554, 560 (Del. 2014).</w:t>
      </w:r>
    </w:p>
  </w:footnote>
  <w:footnote w:id="3">
    <w:p w14:paraId="64A8CDE0" w14:textId="2ABCC218"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notes 24-33 and accompanying text.</w:t>
      </w:r>
    </w:p>
  </w:footnote>
  <w:footnote w:id="4">
    <w:p w14:paraId="4F72EBFB" w14:textId="0CA034DA"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Part III.A.</w:t>
      </w:r>
    </w:p>
  </w:footnote>
  <w:footnote w:id="5">
    <w:p w14:paraId="73CDC27F" w14:textId="70596F70"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Part III.B.</w:t>
      </w:r>
    </w:p>
  </w:footnote>
  <w:footnote w:id="6">
    <w:p w14:paraId="77458C3D" w14:textId="00A9AE57" w:rsidR="00060C5F" w:rsidRPr="006748B6" w:rsidRDefault="00060C5F" w:rsidP="002E612F">
      <w:pPr>
        <w:pStyle w:val="FootnoteText"/>
        <w:ind w:firstLine="720"/>
      </w:pPr>
      <w:r w:rsidRPr="006748B6">
        <w:rPr>
          <w:rStyle w:val="FootnoteReference"/>
        </w:rPr>
        <w:footnoteRef/>
      </w:r>
      <w:r w:rsidRPr="006748B6">
        <w:t>Boilermakers Local 154 Ret. Fund v. Chevron Corp., 73 A.3d 934 (Del. Ch. 2013).</w:t>
      </w:r>
    </w:p>
  </w:footnote>
  <w:footnote w:id="7">
    <w:p w14:paraId="74902912" w14:textId="5C28D27E"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Part II.</w:t>
      </w:r>
    </w:p>
  </w:footnote>
  <w:footnote w:id="8">
    <w:p w14:paraId="7F143F14" w14:textId="25202562"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Part III.</w:t>
      </w:r>
    </w:p>
  </w:footnote>
  <w:footnote w:id="9">
    <w:p w14:paraId="08FF7D13" w14:textId="05E03FCA"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Part IV.</w:t>
      </w:r>
    </w:p>
  </w:footnote>
  <w:footnote w:id="10">
    <w:p w14:paraId="386D8D99" w14:textId="06FBD5A5"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Part IV.A.</w:t>
      </w:r>
    </w:p>
  </w:footnote>
  <w:footnote w:id="11">
    <w:p w14:paraId="47204BE0" w14:textId="014F2891"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Part IV.B.</w:t>
      </w:r>
    </w:p>
  </w:footnote>
  <w:footnote w:id="12">
    <w:p w14:paraId="2756E890" w14:textId="649C708F"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Part IV.C.</w:t>
      </w:r>
    </w:p>
  </w:footnote>
  <w:footnote w:id="13">
    <w:p w14:paraId="2DABED54" w14:textId="37251E99" w:rsidR="00060C5F" w:rsidRPr="006748B6" w:rsidRDefault="00060C5F" w:rsidP="002E612F">
      <w:pPr>
        <w:pStyle w:val="FootnoteText"/>
        <w:ind w:firstLine="720"/>
      </w:pPr>
      <w:r w:rsidRPr="006748B6">
        <w:rPr>
          <w:rStyle w:val="FootnoteReference"/>
        </w:rPr>
        <w:footnoteRef/>
      </w:r>
      <w:r w:rsidRPr="006748B6">
        <w:t xml:space="preserve">8 </w:t>
      </w:r>
      <w:r w:rsidRPr="006748B6">
        <w:rPr>
          <w:i/>
        </w:rPr>
        <w:t xml:space="preserve">Del. C. </w:t>
      </w:r>
      <w:r w:rsidRPr="006748B6">
        <w:t>§ 109(b).</w:t>
      </w:r>
    </w:p>
  </w:footnote>
  <w:footnote w:id="14">
    <w:p w14:paraId="6AC8C0F7" w14:textId="44307AA3" w:rsidR="00060C5F" w:rsidRPr="006748B6" w:rsidRDefault="00060C5F" w:rsidP="002E612F">
      <w:pPr>
        <w:pStyle w:val="FootnoteText"/>
        <w:ind w:firstLine="720"/>
      </w:pPr>
      <w:r w:rsidRPr="006748B6">
        <w:rPr>
          <w:rStyle w:val="FootnoteReference"/>
        </w:rPr>
        <w:footnoteRef/>
      </w:r>
      <w:r w:rsidRPr="006748B6">
        <w:t>Hollinger Intern., Inc. v. Black, 844 A.2d 1022, 1078 (Del. Ch. 2004).</w:t>
      </w:r>
    </w:p>
  </w:footnote>
  <w:footnote w:id="15">
    <w:p w14:paraId="5A941074" w14:textId="3B5B0E08"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952.</w:t>
      </w:r>
    </w:p>
  </w:footnote>
  <w:footnote w:id="16">
    <w:p w14:paraId="0273DDB9" w14:textId="2F361F4D"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558.</w:t>
      </w:r>
    </w:p>
  </w:footnote>
  <w:footnote w:id="17">
    <w:p w14:paraId="6D37293E" w14:textId="1D062AE5" w:rsidR="00060C5F" w:rsidRPr="006748B6" w:rsidRDefault="00060C5F" w:rsidP="002E612F">
      <w:pPr>
        <w:pStyle w:val="FootnoteText"/>
        <w:ind w:firstLine="720"/>
      </w:pPr>
      <w:r w:rsidRPr="006748B6">
        <w:rPr>
          <w:rStyle w:val="FootnoteReference"/>
        </w:rPr>
        <w:footnoteRef/>
      </w:r>
      <w:r w:rsidRPr="006748B6">
        <w:rPr>
          <w:i/>
        </w:rPr>
        <w:t>See, e.g.</w:t>
      </w:r>
      <w:r w:rsidRPr="006748B6">
        <w:t>,</w:t>
      </w:r>
      <w:r w:rsidRPr="006748B6">
        <w:rPr>
          <w:i/>
        </w:rPr>
        <w:t xml:space="preserve"> </w:t>
      </w:r>
      <w:r w:rsidRPr="006748B6">
        <w:rPr>
          <w:rFonts w:ascii="Times" w:eastAsia="Times New Roman" w:hAnsi="Times" w:cs="Times New Roman"/>
        </w:rPr>
        <w:t>Centaur Partners, IV v. Nat'l Intergroup, Inc., 582 A.2d 923, 928 (Del. 1990); Airgas, Inc. v. Air Prods. and Chems., Inc., 8 A.3d 1182, 1188 (Del. 2010).</w:t>
      </w:r>
    </w:p>
  </w:footnote>
  <w:footnote w:id="18">
    <w:p w14:paraId="38868F63" w14:textId="589F6F90" w:rsidR="00060C5F" w:rsidRPr="006748B6" w:rsidRDefault="00060C5F" w:rsidP="002E612F">
      <w:pPr>
        <w:pStyle w:val="FootnoteText"/>
        <w:ind w:firstLine="720"/>
      </w:pPr>
      <w:r w:rsidRPr="006748B6">
        <w:rPr>
          <w:rStyle w:val="FootnoteReference"/>
        </w:rPr>
        <w:footnoteRef/>
      </w:r>
      <w:r w:rsidRPr="006748B6">
        <w:t xml:space="preserve">8 </w:t>
      </w:r>
      <w:r w:rsidRPr="006748B6">
        <w:rPr>
          <w:i/>
        </w:rPr>
        <w:t>Del. C.</w:t>
      </w:r>
      <w:r w:rsidRPr="006748B6">
        <w:t xml:space="preserve"> § 109(a) ("[T]he power to adopt, amend or repeal bylaws shall be in the stockholders entitled to vote. . . .  Notwithstanding the foregoing, any corporation may, in its certificate of incorporation, confer the power to adopt, amend or repeal bylaws upon the directors . . . .  The fact that such power has been so conferred upon the directors . . . shall not divest the stockholders or members of the power, nor limit their power to adopt, amend or repeal bylaws.").</w:t>
      </w:r>
    </w:p>
  </w:footnote>
  <w:footnote w:id="19">
    <w:p w14:paraId="60575757" w14:textId="77777777" w:rsidR="00060C5F" w:rsidRPr="006748B6" w:rsidRDefault="00060C5F" w:rsidP="002E612F">
      <w:pPr>
        <w:pStyle w:val="FootnoteText"/>
        <w:ind w:firstLine="720"/>
      </w:pPr>
      <w:r w:rsidRPr="006748B6">
        <w:rPr>
          <w:rStyle w:val="FootnoteReference"/>
        </w:rPr>
        <w:footnoteRef/>
      </w:r>
      <w:r w:rsidRPr="006748B6">
        <w:t>Kidsco Inc. v. Dinsmore, 674 A.2d 483, 492 (Del. Ch. 1995).</w:t>
      </w:r>
    </w:p>
  </w:footnote>
  <w:footnote w:id="20">
    <w:p w14:paraId="11BE7B87" w14:textId="66D872FE"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958.</w:t>
      </w:r>
    </w:p>
  </w:footnote>
  <w:footnote w:id="21">
    <w:p w14:paraId="06D9AD8B" w14:textId="34C46637" w:rsidR="00060C5F" w:rsidRPr="006748B6" w:rsidRDefault="00060C5F" w:rsidP="002E612F">
      <w:pPr>
        <w:pStyle w:val="FootnoteText"/>
        <w:ind w:firstLine="720"/>
      </w:pPr>
      <w:r w:rsidRPr="006748B6">
        <w:rPr>
          <w:rStyle w:val="FootnoteReference"/>
        </w:rPr>
        <w:footnoteRef/>
      </w:r>
      <w:r w:rsidRPr="006748B6">
        <w:rPr>
          <w:i/>
        </w:rPr>
        <w:t>Kidsco</w:t>
      </w:r>
      <w:r w:rsidRPr="006748B6">
        <w:t>, 674 A.2d at 492.</w:t>
      </w:r>
    </w:p>
  </w:footnote>
  <w:footnote w:id="22">
    <w:p w14:paraId="7BDF5E7E" w14:textId="27E8B942"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939.</w:t>
      </w:r>
    </w:p>
  </w:footnote>
  <w:footnote w:id="23">
    <w:p w14:paraId="7C843380" w14:textId="13EED14D"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956.</w:t>
      </w:r>
    </w:p>
  </w:footnote>
  <w:footnote w:id="24">
    <w:p w14:paraId="3BE3E6E0" w14:textId="2F5BC7B4" w:rsidR="00060C5F" w:rsidRPr="006748B6" w:rsidRDefault="00060C5F" w:rsidP="002E612F">
      <w:pPr>
        <w:pStyle w:val="FootnoteText"/>
        <w:ind w:firstLine="720"/>
      </w:pPr>
      <w:r w:rsidRPr="006748B6">
        <w:rPr>
          <w:rStyle w:val="FootnoteReference"/>
        </w:rPr>
        <w:footnoteRef/>
      </w:r>
      <w:r w:rsidRPr="006748B6">
        <w:t xml:space="preserve">ATP Tour's bylaws as stated by the Court in </w:t>
      </w:r>
      <w:r w:rsidRPr="006748B6">
        <w:rPr>
          <w:i/>
        </w:rPr>
        <w:t>ATP Tour</w:t>
      </w:r>
      <w:r w:rsidRPr="006748B6">
        <w:t xml:space="preserve"> included the following provision: "(a) In the event that (i) any [current or prior member or Owner or anyone on their behalf ('Claiming Party')] initiates or asserts any [claim or counterclaim ('Claim')] or joins, offers substantial assistance to or has a direct financial interest in any Claim against the League or any member or Owner (including any Claim purportedly filed on behalf of the League or any member), and (ii) the Claiming Party (or the third party that received substantial assistance from the Claiming Party or in whose Claim the Claiming Party had a direct financial interest) does not obtain a judgment on the merits that substantially achieves, in substance and amount, the full remedy sought, then each Claiming Party shall be obligated jointly and severally to reimburse the League and any such member or Owners for all fees, costs and expenses of every kind and description (including, but not limited to, all reasonable attorneys' fees and other litigation expenses) (collectively, 'Litigation Costs') that the parties may incur in connection with such Claim."  </w:t>
      </w:r>
      <w:r w:rsidRPr="006748B6">
        <w:rPr>
          <w:i/>
        </w:rPr>
        <w:t>ATP Tour</w:t>
      </w:r>
      <w:r w:rsidRPr="006748B6">
        <w:t>, 91 A.3d at 556.  For the purposes of this Note, ATP Tour's fee-shifting bylaw will be considered representative of fee-shifting bylaws generally.</w:t>
      </w:r>
    </w:p>
  </w:footnote>
  <w:footnote w:id="25">
    <w:p w14:paraId="686FCCB4" w14:textId="46D38845"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558. </w:t>
      </w:r>
    </w:p>
  </w:footnote>
  <w:footnote w:id="26">
    <w:p w14:paraId="240D0F4D" w14:textId="77777777"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w:t>
      </w:r>
      <w:r w:rsidRPr="006748B6">
        <w:rPr>
          <w:i/>
        </w:rPr>
        <w:t>quoting</w:t>
      </w:r>
      <w:r w:rsidRPr="006748B6">
        <w:t xml:space="preserve"> 8 </w:t>
      </w:r>
      <w:r w:rsidRPr="006748B6">
        <w:rPr>
          <w:i/>
        </w:rPr>
        <w:t>Del. C.</w:t>
      </w:r>
      <w:r w:rsidRPr="006748B6">
        <w:t xml:space="preserve"> § 109(b)).</w:t>
      </w:r>
    </w:p>
  </w:footnote>
  <w:footnote w:id="27">
    <w:p w14:paraId="2410C4C2" w14:textId="77777777" w:rsidR="00060C5F" w:rsidRPr="006748B6" w:rsidRDefault="00060C5F" w:rsidP="002E612F">
      <w:pPr>
        <w:pStyle w:val="FootnoteText"/>
        <w:ind w:firstLine="720"/>
        <w:rPr>
          <w:i/>
        </w:rPr>
      </w:pPr>
      <w:r w:rsidRPr="006748B6">
        <w:rPr>
          <w:rStyle w:val="FootnoteReference"/>
        </w:rPr>
        <w:footnoteRef/>
      </w:r>
      <w:r w:rsidRPr="006748B6">
        <w:rPr>
          <w:i/>
        </w:rPr>
        <w:t>Id.</w:t>
      </w:r>
    </w:p>
  </w:footnote>
  <w:footnote w:id="28">
    <w:p w14:paraId="3258FA67" w14:textId="26002574" w:rsidR="00060C5F" w:rsidRPr="006748B6" w:rsidRDefault="00060C5F" w:rsidP="002E612F">
      <w:pPr>
        <w:pStyle w:val="FootnoteText"/>
        <w:ind w:firstLine="720"/>
      </w:pPr>
      <w:r w:rsidRPr="006748B6">
        <w:rPr>
          <w:rStyle w:val="FootnoteReference"/>
        </w:rPr>
        <w:footnoteRef/>
      </w:r>
      <w:r w:rsidRPr="006748B6">
        <w:rPr>
          <w:i/>
        </w:rPr>
        <w:t xml:space="preserve">ATP Tour, </w:t>
      </w:r>
      <w:r w:rsidRPr="006748B6">
        <w:t>91 A.3d at 558.</w:t>
      </w:r>
    </w:p>
  </w:footnote>
  <w:footnote w:id="29">
    <w:p w14:paraId="1A8B168A" w14:textId="7D89346C" w:rsidR="00060C5F" w:rsidRPr="006748B6" w:rsidRDefault="00060C5F" w:rsidP="002E612F">
      <w:pPr>
        <w:pStyle w:val="FootnoteText"/>
        <w:ind w:firstLine="720"/>
      </w:pPr>
      <w:r w:rsidRPr="006748B6">
        <w:rPr>
          <w:rStyle w:val="FootnoteReference"/>
        </w:rPr>
        <w:footnoteRef/>
      </w:r>
      <w:r w:rsidRPr="006748B6">
        <w:rPr>
          <w:i/>
        </w:rPr>
        <w:t xml:space="preserve">Id. </w:t>
      </w:r>
      <w:r w:rsidRPr="006748B6">
        <w:t>at 557.</w:t>
      </w:r>
    </w:p>
  </w:footnote>
  <w:footnote w:id="30">
    <w:p w14:paraId="64EC6CCB" w14:textId="77777777"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559.</w:t>
      </w:r>
    </w:p>
  </w:footnote>
  <w:footnote w:id="31">
    <w:p w14:paraId="5D169E95" w14:textId="77777777"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560.</w:t>
      </w:r>
    </w:p>
  </w:footnote>
  <w:footnote w:id="32">
    <w:p w14:paraId="47CE971D" w14:textId="28AA6159" w:rsidR="00060C5F" w:rsidRPr="006748B6" w:rsidRDefault="00060C5F" w:rsidP="002E612F">
      <w:pPr>
        <w:pStyle w:val="FootnoteText"/>
        <w:ind w:firstLine="720"/>
        <w:rPr>
          <w:i/>
        </w:rPr>
      </w:pPr>
      <w:r w:rsidRPr="006748B6">
        <w:rPr>
          <w:rStyle w:val="FootnoteReference"/>
        </w:rPr>
        <w:footnoteRef/>
      </w:r>
      <w:r w:rsidRPr="006748B6">
        <w:rPr>
          <w:i/>
        </w:rPr>
        <w:t xml:space="preserve">ATP Tour, </w:t>
      </w:r>
      <w:r w:rsidRPr="006748B6">
        <w:t>91 A.3d at 560.</w:t>
      </w:r>
    </w:p>
  </w:footnote>
  <w:footnote w:id="33">
    <w:p w14:paraId="5B881D55" w14:textId="143F3D2A"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w:t>
      </w:r>
      <w:r w:rsidRPr="006748B6">
        <w:rPr>
          <w:i/>
        </w:rPr>
        <w:t>citing</w:t>
      </w:r>
      <w:r w:rsidRPr="006748B6">
        <w:t xml:space="preserve"> Boilermakers, 73 A.3d at 956).</w:t>
      </w:r>
    </w:p>
  </w:footnote>
  <w:footnote w:id="34">
    <w:p w14:paraId="187A301E" w14:textId="77777777" w:rsidR="00060C5F" w:rsidRDefault="00060C5F" w:rsidP="00E4698C">
      <w:pPr>
        <w:pStyle w:val="FootnoteText"/>
        <w:ind w:firstLine="720"/>
        <w:rPr>
          <w:rFonts w:cs="Times New Roman"/>
        </w:rPr>
      </w:pPr>
      <w:r w:rsidRPr="006748B6">
        <w:rPr>
          <w:rStyle w:val="FootnoteReference"/>
        </w:rPr>
        <w:footnoteRef/>
      </w:r>
      <w:r w:rsidRPr="006748B6">
        <w:rPr>
          <w:rFonts w:cs="Times New Roman"/>
        </w:rPr>
        <w:t xml:space="preserve">S.B. 236, Del. State S., 147th Gen. Assemb. (Del. 2014), </w:t>
      </w:r>
      <w:r w:rsidRPr="006748B6">
        <w:rPr>
          <w:rFonts w:cs="Times New Roman"/>
          <w:i/>
        </w:rPr>
        <w:t>available at</w:t>
      </w:r>
      <w:r w:rsidRPr="006748B6">
        <w:rPr>
          <w:rFonts w:cs="Times New Roman"/>
        </w:rPr>
        <w:t xml:space="preserve"> </w:t>
      </w:r>
      <w:r w:rsidRPr="00E4698C">
        <w:rPr>
          <w:rFonts w:cs="Times New Roman"/>
        </w:rPr>
        <w:t>http://legis.delaware.gov/LIS/</w:t>
      </w:r>
    </w:p>
    <w:p w14:paraId="6028BE0B" w14:textId="6CC4D1F4" w:rsidR="00060C5F" w:rsidRDefault="00060C5F" w:rsidP="00195906">
      <w:pPr>
        <w:pStyle w:val="FootnoteText"/>
      </w:pPr>
      <w:r w:rsidRPr="00E4698C">
        <w:rPr>
          <w:rFonts w:cs="Times New Roman"/>
        </w:rPr>
        <w:t>LIS147.NSF/vwLegislation/SB+236?Opendocument</w:t>
      </w:r>
      <w:r w:rsidRPr="006748B6">
        <w:rPr>
          <w:rFonts w:cs="Times New Roman"/>
        </w:rPr>
        <w:t>.</w:t>
      </w:r>
      <w:r w:rsidRPr="006748B6">
        <w:t xml:space="preserve"> </w:t>
      </w:r>
      <w:r>
        <w:t xml:space="preserve"> </w:t>
      </w:r>
      <w:r w:rsidRPr="006748B6">
        <w:t xml:space="preserve">This effort was led by Senator Bryan Townsend, with support from the Delaware State Bar Association's Council on Corporate Law.  Daniel Fisher, </w:t>
      </w:r>
      <w:r w:rsidRPr="006748B6">
        <w:rPr>
          <w:i/>
        </w:rPr>
        <w:t>Is Delaware Law a Favor to Plaintiff Lawyers, Or Shareholder Protection?</w:t>
      </w:r>
      <w:r w:rsidRPr="006748B6">
        <w:t xml:space="preserve">, </w:t>
      </w:r>
      <w:r w:rsidRPr="006748B6">
        <w:rPr>
          <w:smallCaps/>
        </w:rPr>
        <w:t>Forbes.com</w:t>
      </w:r>
      <w:r w:rsidRPr="006748B6">
        <w:t xml:space="preserve"> (Jun. 10, 2014, 12:22 PM), http://www.forbes.com/</w:t>
      </w:r>
    </w:p>
    <w:p w14:paraId="0FDA3201" w14:textId="160F8743" w:rsidR="00060C5F" w:rsidRPr="00E4698C" w:rsidRDefault="00060C5F" w:rsidP="00195906">
      <w:pPr>
        <w:pStyle w:val="FootnoteText"/>
        <w:rPr>
          <w:rFonts w:cs="Times New Roman"/>
        </w:rPr>
      </w:pPr>
      <w:r w:rsidRPr="006748B6">
        <w:t xml:space="preserve">sites/danielfisher/2014/06/10/is-delaware-law-a-favor-to-plaintiff-lawyers-or-protection-for-capitalists/.  The proposed amendment had widespread support among the Delaware Bar, including corporate attorneys for both plaintiffs and defendants.  Liz Hoffman, </w:t>
      </w:r>
      <w:r w:rsidRPr="006748B6">
        <w:rPr>
          <w:i/>
        </w:rPr>
        <w:t>Delaware to Weigh Who Pays Legal Fees in Corporate Litigation</w:t>
      </w:r>
      <w:r w:rsidRPr="006748B6">
        <w:t xml:space="preserve">, </w:t>
      </w:r>
      <w:r w:rsidRPr="006748B6">
        <w:rPr>
          <w:smallCaps/>
        </w:rPr>
        <w:t>WSJ.com</w:t>
      </w:r>
      <w:r w:rsidRPr="006748B6">
        <w:t xml:space="preserve"> (Jun. 10, 2014, 10:09 AM), http://blogs.wsj.com/law/2014/06/10/delaware-to-weigh-who-pays-legal-fees-in-corporate-litigation/.  Indeed, almost 100% of the Council on Corporate Law voted in favor of it.  Fisher.</w:t>
      </w:r>
    </w:p>
  </w:footnote>
  <w:footnote w:id="35">
    <w:p w14:paraId="66E5F8C9" w14:textId="0C6336E3" w:rsidR="00060C5F" w:rsidRPr="006748B6" w:rsidRDefault="00060C5F" w:rsidP="002E612F">
      <w:pPr>
        <w:pStyle w:val="FootnoteText"/>
        <w:ind w:firstLine="720"/>
        <w:rPr>
          <w:rFonts w:cs="Times New Roman"/>
        </w:rPr>
      </w:pPr>
      <w:r w:rsidRPr="006748B6">
        <w:rPr>
          <w:rStyle w:val="FootnoteReference"/>
        </w:rPr>
        <w:footnoteRef/>
      </w:r>
      <w:r w:rsidRPr="006748B6">
        <w:t xml:space="preserve">This opposition came mainly from the U.S. Chamber of Commerce's Institute for Legal Reform ("ILR").  </w:t>
      </w:r>
      <w:r w:rsidRPr="006748B6">
        <w:rPr>
          <w:i/>
        </w:rPr>
        <w:t xml:space="preserve">See </w:t>
      </w:r>
      <w:r w:rsidRPr="006748B6">
        <w:t xml:space="preserve">Hoffman, </w:t>
      </w:r>
      <w:r w:rsidRPr="006748B6">
        <w:rPr>
          <w:i/>
        </w:rPr>
        <w:t>supra</w:t>
      </w:r>
      <w:r w:rsidRPr="006748B6">
        <w:t xml:space="preserve"> note 34.  However, corporations </w:t>
      </w:r>
      <w:r w:rsidRPr="006748B6">
        <w:rPr>
          <w:rFonts w:cs="Times New Roman"/>
        </w:rPr>
        <w:t xml:space="preserve">such as Dole Foods and E.I. du Pont de Nemours &amp; Co. also expressed their disapproval of the proposed amendment.  Jennifer L. Vergilii &amp; Brian Mielcusny, </w:t>
      </w:r>
      <w:r w:rsidRPr="006748B6">
        <w:rPr>
          <w:rFonts w:cs="Times New Roman"/>
          <w:i/>
        </w:rPr>
        <w:t>The Delaware Supreme Court's 'ATP Tour' Decision: Most Observers Overstating Potential Impact on Fee-Shifting Bylaws</w:t>
      </w:r>
      <w:r w:rsidRPr="006748B6">
        <w:rPr>
          <w:rFonts w:cs="Times New Roman"/>
        </w:rPr>
        <w:t xml:space="preserve">, </w:t>
      </w:r>
      <w:r w:rsidRPr="006748B6">
        <w:rPr>
          <w:rFonts w:cs="Times New Roman"/>
          <w:smallCaps/>
        </w:rPr>
        <w:t>Bloomberg BNA Corporate Law &amp; Accountability Report</w:t>
      </w:r>
      <w:r w:rsidRPr="006748B6">
        <w:rPr>
          <w:rFonts w:cs="Times New Roman"/>
        </w:rPr>
        <w:t xml:space="preserve"> (Aug. 8, 2014), http://www.bna.com/</w:t>
      </w:r>
    </w:p>
    <w:p w14:paraId="7F75B164" w14:textId="215B41CA" w:rsidR="00060C5F" w:rsidRPr="006748B6" w:rsidRDefault="00060C5F" w:rsidP="00527601">
      <w:pPr>
        <w:pStyle w:val="FootnoteText"/>
        <w:rPr>
          <w:rFonts w:cs="Times New Roman"/>
        </w:rPr>
      </w:pPr>
      <w:r w:rsidRPr="006748B6">
        <w:rPr>
          <w:rFonts w:cs="Times New Roman"/>
        </w:rPr>
        <w:t xml:space="preserve">delaware-supreme-courts-n17179894367/.  According to the ILR, the amendment takes away a tool that corporations can use to "protect their shareholders" from frivolous and "abusive litigation" by other shareholders.  Fisher, </w:t>
      </w:r>
      <w:r w:rsidRPr="006748B6">
        <w:rPr>
          <w:rFonts w:cs="Times New Roman"/>
          <w:i/>
        </w:rPr>
        <w:t xml:space="preserve">supra </w:t>
      </w:r>
      <w:r w:rsidRPr="006748B6">
        <w:rPr>
          <w:rFonts w:cs="Times New Roman"/>
        </w:rPr>
        <w:t xml:space="preserve">note 34.  The argument goes that this protection is necessary because of the high expense to the corporation involved in either defending against the claim or paying off the plaintiff shareholder in order to have certainty that the transaction involved can move forward.  Jonathan Starkey, </w:t>
      </w:r>
      <w:r w:rsidRPr="006748B6">
        <w:rPr>
          <w:rFonts w:cs="Times New Roman"/>
          <w:i/>
        </w:rPr>
        <w:t>Delaware Lawyers Fight Fee-Shifting in Legislature</w:t>
      </w:r>
      <w:r w:rsidRPr="006748B6">
        <w:rPr>
          <w:rFonts w:cs="Times New Roman"/>
        </w:rPr>
        <w:t xml:space="preserve">, </w:t>
      </w:r>
      <w:r w:rsidRPr="006748B6">
        <w:rPr>
          <w:rFonts w:cs="Times New Roman"/>
          <w:smallCaps/>
        </w:rPr>
        <w:t>The News J</w:t>
      </w:r>
      <w:r w:rsidRPr="006748B6">
        <w:rPr>
          <w:rFonts w:cs="Times New Roman"/>
        </w:rPr>
        <w:t>. (Jun. 10, 2014, 12:30 PM), http://www.delawareonline.com/story/news/local/2014/06/</w:t>
      </w:r>
    </w:p>
    <w:p w14:paraId="40BD07F6" w14:textId="61233705" w:rsidR="00060C5F" w:rsidRPr="006748B6" w:rsidRDefault="00060C5F" w:rsidP="00527601">
      <w:pPr>
        <w:pStyle w:val="FootnoteText"/>
        <w:rPr>
          <w:rFonts w:cs="Times New Roman"/>
        </w:rPr>
      </w:pPr>
      <w:r w:rsidRPr="006748B6">
        <w:rPr>
          <w:rFonts w:cs="Times New Roman"/>
        </w:rPr>
        <w:t>09/delaware-lawyers-push-bill-protect-legal-fees/10260555/.</w:t>
      </w:r>
    </w:p>
  </w:footnote>
  <w:footnote w:id="36">
    <w:p w14:paraId="2EE739AA" w14:textId="647A37E6" w:rsidR="00060C5F" w:rsidRPr="006748B6" w:rsidRDefault="00060C5F" w:rsidP="002E612F">
      <w:pPr>
        <w:pStyle w:val="FootnoteText"/>
        <w:ind w:firstLine="720"/>
      </w:pPr>
      <w:r w:rsidRPr="006748B6">
        <w:rPr>
          <w:rStyle w:val="FootnoteReference"/>
        </w:rPr>
        <w:footnoteRef/>
      </w:r>
      <w:r w:rsidRPr="006748B6">
        <w:t xml:space="preserve">Bloomberg BNA Corporate Counsel Weekly, </w:t>
      </w:r>
      <w:r w:rsidRPr="006748B6">
        <w:rPr>
          <w:i/>
        </w:rPr>
        <w:t>Del. Legislature Delays Vote on Fee-Shifting Bylaws Ban</w:t>
      </w:r>
      <w:r w:rsidRPr="006748B6">
        <w:t xml:space="preserve">, 29 CCW 202 (Jul. 2, 2014).  Apparently the amendment was delayed at least in part to the comments from ILR.  Fisher, </w:t>
      </w:r>
      <w:r w:rsidRPr="006748B6">
        <w:rPr>
          <w:i/>
        </w:rPr>
        <w:t xml:space="preserve">supra </w:t>
      </w:r>
      <w:r w:rsidRPr="006748B6">
        <w:t xml:space="preserve">note 34.  The ILR plans to use this time to "continue to staunchly oppose this legislation, as well as to educate lawmakers on the negative impact this bill would have on Delaware's business climate."  </w:t>
      </w:r>
      <w:r w:rsidRPr="006748B6">
        <w:rPr>
          <w:i/>
        </w:rPr>
        <w:t>Delaware Legislature Delays Anti-Fee-Shifting Legislation</w:t>
      </w:r>
      <w:r w:rsidRPr="006748B6">
        <w:t xml:space="preserve">, </w:t>
      </w:r>
      <w:r w:rsidRPr="006748B6">
        <w:rPr>
          <w:smallCaps/>
        </w:rPr>
        <w:t>U.S. Chamber Institute for Legal Reform</w:t>
      </w:r>
      <w:r w:rsidRPr="006748B6">
        <w:t xml:space="preserve"> (June 20, 2014), http://www.instituteforlegalreform.com/resource/delaware-legislature-delays-anti-fee-shifting-legislation/.</w:t>
      </w:r>
    </w:p>
  </w:footnote>
  <w:footnote w:id="37">
    <w:p w14:paraId="0DECB67B" w14:textId="77777777" w:rsidR="009252EE" w:rsidRDefault="00060C5F" w:rsidP="009252EE">
      <w:pPr>
        <w:pStyle w:val="FootnoteText"/>
        <w:ind w:firstLine="720"/>
      </w:pPr>
      <w:r w:rsidRPr="006748B6">
        <w:rPr>
          <w:rStyle w:val="FootnoteReference"/>
        </w:rPr>
        <w:footnoteRef/>
      </w:r>
      <w:r w:rsidRPr="006748B6">
        <w:rPr>
          <w:i/>
        </w:rPr>
        <w:t xml:space="preserve">See </w:t>
      </w:r>
      <w:r w:rsidR="009252EE" w:rsidRPr="009252EE">
        <w:t xml:space="preserve">S.B. </w:t>
      </w:r>
      <w:r w:rsidR="009252EE">
        <w:t>75, Del. State S., 148th Gen. Assemb. (Del. 2015</w:t>
      </w:r>
      <w:r w:rsidR="009252EE" w:rsidRPr="009252EE">
        <w:t xml:space="preserve">), </w:t>
      </w:r>
      <w:r w:rsidR="009252EE" w:rsidRPr="009252EE">
        <w:rPr>
          <w:i/>
        </w:rPr>
        <w:t>available at</w:t>
      </w:r>
      <w:r w:rsidR="009252EE" w:rsidRPr="009252EE">
        <w:t xml:space="preserve"> http://legis.delaware.gov/LIS/</w:t>
      </w:r>
    </w:p>
    <w:p w14:paraId="1125A558" w14:textId="4D214853" w:rsidR="00060C5F" w:rsidRPr="006748B6" w:rsidRDefault="009252EE" w:rsidP="009252EE">
      <w:pPr>
        <w:pStyle w:val="FootnoteText"/>
      </w:pPr>
      <w:r w:rsidRPr="009252EE">
        <w:t>lis148.nsf/vwLegislation/SB+75/$file/legis.html?open</w:t>
      </w:r>
      <w:r w:rsidR="00060C5F" w:rsidRPr="006748B6">
        <w:t>.</w:t>
      </w:r>
    </w:p>
  </w:footnote>
  <w:footnote w:id="38">
    <w:p w14:paraId="5318A429" w14:textId="1F634A9C" w:rsidR="00060C5F" w:rsidRPr="006748B6" w:rsidRDefault="00060C5F" w:rsidP="0056045D">
      <w:pPr>
        <w:pStyle w:val="FootnoteText"/>
        <w:ind w:firstLine="720"/>
        <w:rPr>
          <w:i/>
        </w:rPr>
      </w:pPr>
      <w:r w:rsidRPr="006748B6">
        <w:rPr>
          <w:rStyle w:val="FootnoteReference"/>
        </w:rPr>
        <w:footnoteRef/>
      </w:r>
      <w:r w:rsidRPr="006748B6">
        <w:rPr>
          <w:i/>
        </w:rPr>
        <w:t>See id.</w:t>
      </w:r>
    </w:p>
  </w:footnote>
  <w:footnote w:id="39">
    <w:p w14:paraId="515428F8" w14:textId="110911A1"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w:t>
      </w:r>
      <w:r w:rsidRPr="006748B6">
        <w:rPr>
          <w:i/>
        </w:rPr>
        <w:t>Delaware Judge Wants More Briefing Before Ruling on New Fee-Shifting Bylaw</w:t>
      </w:r>
      <w:r w:rsidRPr="006748B6">
        <w:t xml:space="preserve">, 30 </w:t>
      </w:r>
      <w:r w:rsidRPr="006748B6">
        <w:rPr>
          <w:smallCaps/>
        </w:rPr>
        <w:t>Westlaw J. Corp. Officers &amp; Directors Liability 10 (</w:t>
      </w:r>
      <w:r w:rsidRPr="006748B6">
        <w:t>Sep. 8, 2014) (noting that these corporations are "mostly small biotechnology firms" and that most companies appear to be holding off "to see how investors react").</w:t>
      </w:r>
    </w:p>
  </w:footnote>
  <w:footnote w:id="40">
    <w:p w14:paraId="23B09686" w14:textId="14A85401"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Alison Frankel, </w:t>
      </w:r>
      <w:r w:rsidRPr="006748B6">
        <w:rPr>
          <w:i/>
        </w:rPr>
        <w:t>Sneaky New Trend in IPOs: Make Shareholders Pay if They Sue and Lose</w:t>
      </w:r>
      <w:r w:rsidRPr="006748B6">
        <w:t xml:space="preserve">, 30 </w:t>
      </w:r>
      <w:r w:rsidRPr="006748B6">
        <w:rPr>
          <w:smallCaps/>
        </w:rPr>
        <w:t>Westlaw J. Corp. Officers &amp; Directors Liability</w:t>
      </w:r>
      <w:r w:rsidRPr="006748B6">
        <w:t xml:space="preserve"> 12 (Oct. 20, 2014) (discussing the quiet adoption of fee-shifting bylaws by Alibaba and other corporations with recent IPOs and calling on the SEC to review the impact of potentially insufficient notice on stockholder rights).</w:t>
      </w:r>
    </w:p>
  </w:footnote>
  <w:footnote w:id="41">
    <w:p w14:paraId="11BB0890" w14:textId="34250216"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w:t>
      </w:r>
      <w:r w:rsidRPr="006748B6">
        <w:rPr>
          <w:rFonts w:cs="Times New Roman"/>
        </w:rPr>
        <w:t>Kastis v. Carter, Plaintiffs' Motion to Invalidate Retroactive Fee-Shifting and Surety Bylaw or, in the Alternative, to Dismiss and Withdraw Counsel, No. 8657 (Del. Ch. Jul. 21, 2014).</w:t>
      </w:r>
    </w:p>
  </w:footnote>
  <w:footnote w:id="42">
    <w:p w14:paraId="1B05D945" w14:textId="5C425C52" w:rsidR="00060C5F" w:rsidRPr="006748B6" w:rsidRDefault="00060C5F" w:rsidP="002E612F">
      <w:pPr>
        <w:pStyle w:val="FootnoteText"/>
        <w:ind w:firstLine="720"/>
      </w:pPr>
      <w:r w:rsidRPr="006748B6">
        <w:rPr>
          <w:rStyle w:val="FootnoteReference"/>
        </w:rPr>
        <w:footnoteRef/>
      </w:r>
      <w:r w:rsidRPr="006748B6">
        <w:rPr>
          <w:i/>
        </w:rPr>
        <w:t>Id.</w:t>
      </w:r>
    </w:p>
  </w:footnote>
  <w:footnote w:id="43">
    <w:p w14:paraId="5112209B" w14:textId="661A0716" w:rsidR="00060C5F" w:rsidRPr="006748B6" w:rsidRDefault="00060C5F" w:rsidP="002E612F">
      <w:pPr>
        <w:pStyle w:val="FootnoteText"/>
        <w:ind w:firstLine="720"/>
        <w:rPr>
          <w:i/>
        </w:rPr>
      </w:pPr>
      <w:r w:rsidRPr="006748B6">
        <w:rPr>
          <w:rStyle w:val="FootnoteReference"/>
        </w:rPr>
        <w:footnoteRef/>
      </w:r>
      <w:r w:rsidRPr="006748B6">
        <w:rPr>
          <w:i/>
        </w:rPr>
        <w:t>Id.</w:t>
      </w:r>
    </w:p>
  </w:footnote>
  <w:footnote w:id="44">
    <w:p w14:paraId="33196662" w14:textId="7324A2C1" w:rsidR="00060C5F" w:rsidRPr="006748B6" w:rsidRDefault="00060C5F" w:rsidP="002E612F">
      <w:pPr>
        <w:pStyle w:val="FootnoteText"/>
        <w:ind w:firstLine="720"/>
      </w:pPr>
      <w:r w:rsidRPr="006748B6">
        <w:rPr>
          <w:rStyle w:val="FootnoteReference"/>
        </w:rPr>
        <w:footnoteRef/>
      </w:r>
      <w:r w:rsidRPr="006748B6">
        <w:t>Kastis v. Carter, Letter from Counsel for Defendants to Chancellor Andre G. Bouchard, No. 8657 (Del. Ch. Sep. 16, 2014).</w:t>
      </w:r>
    </w:p>
  </w:footnote>
  <w:footnote w:id="45">
    <w:p w14:paraId="619CAE85" w14:textId="61CA3FEE" w:rsidR="00060C5F" w:rsidRPr="006748B6" w:rsidRDefault="00060C5F" w:rsidP="002E612F">
      <w:pPr>
        <w:pStyle w:val="FootnoteText"/>
        <w:ind w:firstLine="720"/>
      </w:pPr>
      <w:r w:rsidRPr="006748B6">
        <w:rPr>
          <w:rStyle w:val="FootnoteReference"/>
        </w:rPr>
        <w:footnoteRef/>
      </w:r>
      <w:r w:rsidRPr="006748B6">
        <w:t>Strougo v. Hollander, Verified Amended Class Action Complaint, No. 9770 (Del. Ch. Sep. 24, 2014).</w:t>
      </w:r>
    </w:p>
  </w:footnote>
  <w:footnote w:id="46">
    <w:p w14:paraId="3BF2B06A" w14:textId="70DF224E" w:rsidR="00060C5F" w:rsidRPr="006748B6" w:rsidRDefault="00060C5F" w:rsidP="002E612F">
      <w:pPr>
        <w:pStyle w:val="FootnoteText"/>
        <w:ind w:firstLine="720"/>
      </w:pPr>
      <w:r w:rsidRPr="006748B6">
        <w:rPr>
          <w:rStyle w:val="FootnoteReference"/>
        </w:rPr>
        <w:footnoteRef/>
      </w:r>
      <w:r w:rsidRPr="006748B6">
        <w:rPr>
          <w:i/>
        </w:rPr>
        <w:t>Id.</w:t>
      </w:r>
      <w:r w:rsidRPr="006748B6">
        <w:t>, at ¶ 1.</w:t>
      </w:r>
    </w:p>
  </w:footnote>
  <w:footnote w:id="47">
    <w:p w14:paraId="4DF0C04D" w14:textId="6DCAA9AE" w:rsidR="00060C5F" w:rsidRPr="006748B6" w:rsidRDefault="00060C5F" w:rsidP="002E612F">
      <w:pPr>
        <w:pStyle w:val="FootnoteText"/>
        <w:ind w:firstLine="720"/>
      </w:pPr>
      <w:r w:rsidRPr="006748B6">
        <w:rPr>
          <w:rStyle w:val="FootnoteReference"/>
        </w:rPr>
        <w:footnoteRef/>
      </w:r>
      <w:r w:rsidRPr="006748B6">
        <w:rPr>
          <w:i/>
        </w:rPr>
        <w:t>Id.</w:t>
      </w:r>
      <w:r w:rsidRPr="006748B6">
        <w:t>, at ¶ 2.</w:t>
      </w:r>
    </w:p>
  </w:footnote>
  <w:footnote w:id="48">
    <w:p w14:paraId="5595B4CC" w14:textId="7F0FAF98" w:rsidR="00060C5F" w:rsidRPr="006748B6" w:rsidRDefault="00060C5F" w:rsidP="00521750">
      <w:pPr>
        <w:pStyle w:val="FootnoteText"/>
        <w:ind w:firstLine="720"/>
      </w:pPr>
      <w:r w:rsidRPr="006748B6">
        <w:rPr>
          <w:rStyle w:val="FootnoteReference"/>
        </w:rPr>
        <w:footnoteRef/>
      </w:r>
      <w:r w:rsidRPr="006748B6">
        <w:t>Strougo v. Hollander, 2015 WL 1189610, *1 (Del. Ch. Mar. 16, 2015).</w:t>
      </w:r>
    </w:p>
  </w:footnote>
  <w:footnote w:id="49">
    <w:p w14:paraId="298A14DC" w14:textId="010F415F" w:rsidR="00060C5F" w:rsidRPr="006748B6" w:rsidRDefault="00060C5F" w:rsidP="003809C2">
      <w:pPr>
        <w:pStyle w:val="FootnoteText"/>
        <w:ind w:firstLine="720"/>
      </w:pPr>
      <w:r w:rsidRPr="006748B6">
        <w:rPr>
          <w:rStyle w:val="FootnoteReference"/>
        </w:rPr>
        <w:footnoteRef/>
      </w:r>
      <w:r w:rsidRPr="006748B6">
        <w:rPr>
          <w:i/>
        </w:rPr>
        <w:t>Id.</w:t>
      </w:r>
      <w:r w:rsidRPr="006748B6">
        <w:t xml:space="preserve"> at *7.</w:t>
      </w:r>
    </w:p>
  </w:footnote>
  <w:footnote w:id="50">
    <w:p w14:paraId="44518D58" w14:textId="4C6A2360" w:rsidR="00060C5F" w:rsidRPr="006748B6" w:rsidRDefault="00060C5F" w:rsidP="0039385D">
      <w:pPr>
        <w:pStyle w:val="FootnoteText"/>
        <w:ind w:firstLine="720"/>
      </w:pPr>
      <w:r w:rsidRPr="006748B6">
        <w:rPr>
          <w:rStyle w:val="FootnoteReference"/>
        </w:rPr>
        <w:footnoteRef/>
      </w:r>
      <w:r w:rsidRPr="006748B6">
        <w:rPr>
          <w:i/>
        </w:rPr>
        <w:t>Id.</w:t>
      </w:r>
      <w:r w:rsidRPr="006748B6">
        <w:t xml:space="preserve"> at *5 ("[T]he Bylaw does not apply here for two related reasons: (i) the Board adopted the Bylaw after Plaintiff's interest in the Company was eliminated in the Reverse Stock Split; and (ii) Delaware law does not authorize a bylaw that regulates the rights or powers of former stockholders who were no longer stockholders when the bylaw was adopted.").</w:t>
      </w:r>
    </w:p>
  </w:footnote>
  <w:footnote w:id="51">
    <w:p w14:paraId="7FEC2AEB" w14:textId="70101B96" w:rsidR="00060C5F" w:rsidRPr="006748B6" w:rsidRDefault="00060C5F" w:rsidP="002A4035">
      <w:pPr>
        <w:pStyle w:val="FootnoteText"/>
        <w:ind w:firstLine="720"/>
      </w:pPr>
      <w:r w:rsidRPr="006748B6">
        <w:rPr>
          <w:rStyle w:val="FootnoteReference"/>
        </w:rPr>
        <w:footnoteRef/>
      </w:r>
      <w:r w:rsidRPr="006748B6">
        <w:rPr>
          <w:i/>
        </w:rPr>
        <w:t>Id.</w:t>
      </w:r>
      <w:r w:rsidRPr="006748B6">
        <w:t xml:space="preserve"> at *4 (internal citations omitted).</w:t>
      </w:r>
    </w:p>
  </w:footnote>
  <w:footnote w:id="52">
    <w:p w14:paraId="5EAF88D7" w14:textId="046A5393" w:rsidR="00060C5F" w:rsidRPr="006748B6" w:rsidRDefault="00060C5F" w:rsidP="002E612F">
      <w:pPr>
        <w:pStyle w:val="FootnoteText"/>
        <w:ind w:firstLine="720"/>
      </w:pPr>
      <w:r w:rsidRPr="006748B6">
        <w:rPr>
          <w:rStyle w:val="FootnoteReference"/>
        </w:rPr>
        <w:footnoteRef/>
      </w:r>
      <w:r w:rsidRPr="006748B6">
        <w:t xml:space="preserve">Lawrence A. Hamermesh, </w:t>
      </w:r>
      <w:r w:rsidRPr="006748B6">
        <w:rPr>
          <w:i/>
        </w:rPr>
        <w:t>Consent in Corporate Law</w:t>
      </w:r>
      <w:r w:rsidRPr="006748B6">
        <w:t xml:space="preserve">, 70 </w:t>
      </w:r>
      <w:r w:rsidRPr="006748B6">
        <w:rPr>
          <w:smallCaps/>
        </w:rPr>
        <w:t>Bus. Law</w:t>
      </w:r>
      <w:r w:rsidRPr="006748B6">
        <w:t>. 161, 167 (2015).</w:t>
      </w:r>
    </w:p>
  </w:footnote>
  <w:footnote w:id="53">
    <w:p w14:paraId="446063DE" w14:textId="595C21E7" w:rsidR="00060C5F" w:rsidRPr="006748B6" w:rsidRDefault="00060C5F" w:rsidP="005C49D4">
      <w:pPr>
        <w:pStyle w:val="FootnoteText"/>
        <w:ind w:firstLine="720"/>
      </w:pPr>
      <w:r w:rsidRPr="006748B6">
        <w:rPr>
          <w:rStyle w:val="FootnoteReference"/>
        </w:rPr>
        <w:footnoteRef/>
      </w:r>
      <w:r w:rsidRPr="006748B6">
        <w:t xml:space="preserve">Noam Noked, </w:t>
      </w:r>
      <w:r w:rsidRPr="006748B6">
        <w:rPr>
          <w:i/>
        </w:rPr>
        <w:t>Delaware Court Endorses "Fee-Shifting" Bylaw</w:t>
      </w:r>
      <w:r w:rsidRPr="006748B6">
        <w:t xml:space="preserve">, </w:t>
      </w:r>
      <w:r w:rsidRPr="006748B6">
        <w:rPr>
          <w:smallCaps/>
        </w:rPr>
        <w:t>Harv. L. Sch. F. on Corp. Governance &amp; Fin. Reg. Blog</w:t>
      </w:r>
      <w:r w:rsidRPr="006748B6">
        <w:t xml:space="preserve"> (May 14, 2014, 9:01 AM), http://blogs.law.harvard.edu/corpgov/2014/05/14/delaware-court-endorses-fee-shifting-bylaw/; William J. Sushon, Samantha A. Brutlag, &amp; Edward N. Moss, </w:t>
      </w:r>
      <w:r w:rsidRPr="006748B6">
        <w:rPr>
          <w:i/>
        </w:rPr>
        <w:t>Shifting Sands: Practical Advice on Delaware Fee-Shifting Bylaws</w:t>
      </w:r>
      <w:r w:rsidRPr="006748B6">
        <w:t xml:space="preserve">, </w:t>
      </w:r>
      <w:r w:rsidRPr="006748B6">
        <w:rPr>
          <w:smallCaps/>
        </w:rPr>
        <w:t>N.Y.L.J</w:t>
      </w:r>
      <w:r w:rsidRPr="006748B6">
        <w:t>. (Aug. 11, 2014), http://www.newyorklawjournal.com/</w:t>
      </w:r>
    </w:p>
    <w:p w14:paraId="610DB7DE" w14:textId="40E42320" w:rsidR="00060C5F" w:rsidRPr="006748B6" w:rsidRDefault="00060C5F" w:rsidP="005C49D4">
      <w:pPr>
        <w:pStyle w:val="FootnoteText"/>
      </w:pPr>
      <w:r w:rsidRPr="006748B6">
        <w:t>id=1202666097449/Shifting-Sands-Practical-Advice-on-Delaware-FeeShifting-Bylaws?slreturn=20140929171418.</w:t>
      </w:r>
    </w:p>
  </w:footnote>
  <w:footnote w:id="54">
    <w:p w14:paraId="08000A6D" w14:textId="3F0394BF"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notes 35-36 and accompanying text.</w:t>
      </w:r>
    </w:p>
  </w:footnote>
  <w:footnote w:id="55">
    <w:p w14:paraId="3BB8B90B" w14:textId="0E13D8F8" w:rsidR="00060C5F" w:rsidRPr="006748B6" w:rsidRDefault="00060C5F" w:rsidP="002E612F">
      <w:pPr>
        <w:pStyle w:val="FootnoteText"/>
        <w:ind w:firstLine="720"/>
      </w:pPr>
      <w:r w:rsidRPr="006748B6">
        <w:rPr>
          <w:rStyle w:val="FootnoteReference"/>
        </w:rPr>
        <w:footnoteRef/>
      </w:r>
      <w:r w:rsidRPr="006748B6">
        <w:rPr>
          <w:i/>
        </w:rPr>
        <w:t>See, e.g.</w:t>
      </w:r>
      <w:r w:rsidRPr="006748B6">
        <w:t xml:space="preserve">, </w:t>
      </w:r>
      <w:r w:rsidRPr="006748B6">
        <w:rPr>
          <w:rFonts w:cs="Times New Roman"/>
        </w:rPr>
        <w:t xml:space="preserve">Starkey, </w:t>
      </w:r>
      <w:r w:rsidRPr="006748B6">
        <w:rPr>
          <w:rFonts w:cs="Times New Roman"/>
          <w:i/>
        </w:rPr>
        <w:t>supra</w:t>
      </w:r>
      <w:r w:rsidRPr="006748B6">
        <w:rPr>
          <w:rFonts w:cs="Times New Roman"/>
        </w:rPr>
        <w:t xml:space="preserve"> note 35; </w:t>
      </w:r>
      <w:r w:rsidRPr="006748B6">
        <w:rPr>
          <w:rFonts w:cs="Times New Roman"/>
          <w:i/>
        </w:rPr>
        <w:t xml:space="preserve">see also </w:t>
      </w:r>
      <w:r w:rsidRPr="006748B6">
        <w:rPr>
          <w:rFonts w:cs="Times New Roman"/>
        </w:rPr>
        <w:t>Kastis v. Carter, Plaintiffs' Motion to Invalidate Retroactive Fee-Shifting and Surety Bylaw or, in the Alternative, to Dismiss and Withdraw Counsel, at 8-9, No. 8657 (Del. Ch. Jul. 21, 2014) ("By enacting this draconian Bylaw, the Board imposed a risk that neither Plaintiffs, their counsel, nor any economically rational stockholder or lawyer, could accept").</w:t>
      </w:r>
    </w:p>
  </w:footnote>
  <w:footnote w:id="56">
    <w:p w14:paraId="392DC432" w14:textId="03017859" w:rsidR="00060C5F" w:rsidRPr="006748B6" w:rsidRDefault="00060C5F" w:rsidP="002E612F">
      <w:pPr>
        <w:pStyle w:val="FootnoteText"/>
        <w:ind w:firstLine="720"/>
      </w:pPr>
      <w:r w:rsidRPr="006748B6">
        <w:rPr>
          <w:rStyle w:val="FootnoteReference"/>
        </w:rPr>
        <w:footnoteRef/>
      </w:r>
      <w:r w:rsidRPr="006748B6">
        <w:t xml:space="preserve">Sushon, Brutlag, &amp; Moss, </w:t>
      </w:r>
      <w:r w:rsidRPr="006748B6">
        <w:rPr>
          <w:i/>
        </w:rPr>
        <w:t>supra</w:t>
      </w:r>
      <w:r w:rsidRPr="006748B6">
        <w:t xml:space="preserve"> note 53.  Indeed, in the Hemispherx litigation, the Hemispherx board adopted a fee-shifting bylaw over a year into the litigation; shortly after announcing the new bylaw, the corporation notified the plaintiffs that it planned to take advantage of the bylaw in the litigation and warned that the plaintiffs could be liable for the corporations' legal fees if they continued to prosecute their claim.  </w:t>
      </w:r>
      <w:r w:rsidRPr="006748B6">
        <w:rPr>
          <w:i/>
        </w:rPr>
        <w:t>See</w:t>
      </w:r>
      <w:r w:rsidRPr="006748B6">
        <w:t xml:space="preserve"> </w:t>
      </w:r>
      <w:r w:rsidRPr="006748B6">
        <w:rPr>
          <w:rFonts w:cs="Times New Roman"/>
        </w:rPr>
        <w:t>Kastis v. Carter, Plaintiffs' Motion to Invalidate Retroactive Fee-Shifting and Surety Bylaw or, in the Alternative, to Dismiss and Withdraw Counsel, at 2-5, No. 8657 (Del. Ch. Jul. 21, 2014).</w:t>
      </w:r>
    </w:p>
  </w:footnote>
  <w:footnote w:id="57">
    <w:p w14:paraId="651BADE3" w14:textId="6207A649"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556.</w:t>
      </w:r>
    </w:p>
  </w:footnote>
  <w:footnote w:id="58">
    <w:p w14:paraId="5BD6B5D7" w14:textId="6ADF48D6" w:rsidR="00060C5F" w:rsidRPr="006748B6" w:rsidRDefault="00060C5F" w:rsidP="002E612F">
      <w:pPr>
        <w:pStyle w:val="FootnoteText"/>
        <w:ind w:firstLine="720"/>
      </w:pPr>
      <w:r w:rsidRPr="006748B6">
        <w:rPr>
          <w:rStyle w:val="FootnoteReference"/>
        </w:rPr>
        <w:footnoteRef/>
      </w:r>
      <w:r w:rsidRPr="006748B6">
        <w:rPr>
          <w:i/>
        </w:rPr>
        <w:t>Deutscher Tennis Bund</w:t>
      </w:r>
      <w:r w:rsidRPr="006748B6">
        <w:t>, 480 F.App'x at 127, n.4 (suggesting that Delaware courts might not enforce the provision based on "unconscionability or public policy considerations").</w:t>
      </w:r>
    </w:p>
  </w:footnote>
  <w:footnote w:id="59">
    <w:p w14:paraId="18F35A0F" w14:textId="48327C57" w:rsidR="00060C5F" w:rsidRPr="006748B6" w:rsidRDefault="00060C5F" w:rsidP="002E612F">
      <w:pPr>
        <w:pStyle w:val="FootnoteText"/>
        <w:ind w:firstLine="720"/>
      </w:pPr>
      <w:r w:rsidRPr="006748B6">
        <w:rPr>
          <w:rStyle w:val="FootnoteReference"/>
        </w:rPr>
        <w:footnoteRef/>
      </w:r>
      <w:r w:rsidRPr="006748B6">
        <w:rPr>
          <w:i/>
        </w:rPr>
        <w:t>But see</w:t>
      </w:r>
      <w:r w:rsidRPr="006748B6">
        <w:t xml:space="preserve"> Sushon, Brutlag, &amp; Moss, </w:t>
      </w:r>
      <w:r w:rsidRPr="006748B6">
        <w:rPr>
          <w:i/>
        </w:rPr>
        <w:t>supra</w:t>
      </w:r>
      <w:r w:rsidRPr="006748B6">
        <w:t xml:space="preserve"> note 53 (suggesting that institutional investors may have sufficient resources to be beyond deterrence).</w:t>
      </w:r>
    </w:p>
  </w:footnote>
  <w:footnote w:id="60">
    <w:p w14:paraId="21CA8BC0" w14:textId="43726514"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Hamermesh, </w:t>
      </w:r>
      <w:r w:rsidRPr="006748B6">
        <w:rPr>
          <w:i/>
        </w:rPr>
        <w:t>supra</w:t>
      </w:r>
      <w:r w:rsidRPr="006748B6">
        <w:t xml:space="preserve"> note 52, at 171.</w:t>
      </w:r>
    </w:p>
  </w:footnote>
  <w:footnote w:id="61">
    <w:p w14:paraId="5FCCDBD1" w14:textId="0F1A5798" w:rsidR="00060C5F" w:rsidRPr="006748B6" w:rsidRDefault="00060C5F" w:rsidP="002E612F">
      <w:pPr>
        <w:pStyle w:val="FootnoteText"/>
        <w:ind w:firstLine="720"/>
      </w:pPr>
      <w:r w:rsidRPr="006748B6">
        <w:rPr>
          <w:rStyle w:val="FootnoteReference"/>
        </w:rPr>
        <w:footnoteRef/>
      </w:r>
      <w:r w:rsidRPr="006748B6">
        <w:t xml:space="preserve">Sushon, Brutlag, &amp; Moss, </w:t>
      </w:r>
      <w:r w:rsidRPr="006748B6">
        <w:rPr>
          <w:i/>
        </w:rPr>
        <w:t>supra</w:t>
      </w:r>
      <w:r w:rsidRPr="006748B6">
        <w:t xml:space="preserve"> note 53.</w:t>
      </w:r>
    </w:p>
  </w:footnote>
  <w:footnote w:id="62">
    <w:p w14:paraId="71A88391" w14:textId="66A19AB1" w:rsidR="00060C5F" w:rsidRPr="006748B6" w:rsidRDefault="00060C5F" w:rsidP="002E612F">
      <w:pPr>
        <w:pStyle w:val="FootnoteText"/>
        <w:ind w:firstLine="720"/>
      </w:pPr>
      <w:r w:rsidRPr="006748B6">
        <w:rPr>
          <w:rStyle w:val="FootnoteReference"/>
        </w:rPr>
        <w:footnoteRef/>
      </w:r>
      <w:r w:rsidRPr="006748B6">
        <w:rPr>
          <w:rFonts w:cs="Times New Roman"/>
        </w:rPr>
        <w:t xml:space="preserve">Starkey, </w:t>
      </w:r>
      <w:r w:rsidRPr="006748B6">
        <w:rPr>
          <w:rFonts w:cs="Times New Roman"/>
          <w:i/>
        </w:rPr>
        <w:t>supra</w:t>
      </w:r>
      <w:r w:rsidRPr="006748B6">
        <w:rPr>
          <w:rFonts w:cs="Times New Roman"/>
        </w:rPr>
        <w:t xml:space="preserve"> note 35 (noting also that Delaware collects over $1 billion from such corporations each year).</w:t>
      </w:r>
    </w:p>
  </w:footnote>
  <w:footnote w:id="63">
    <w:p w14:paraId="36CE4A5B" w14:textId="7491227E" w:rsidR="00060C5F" w:rsidRPr="006748B6" w:rsidRDefault="00060C5F" w:rsidP="002E612F">
      <w:pPr>
        <w:pStyle w:val="FootnoteText"/>
        <w:ind w:firstLine="720"/>
      </w:pPr>
      <w:r w:rsidRPr="006748B6">
        <w:rPr>
          <w:rStyle w:val="FootnoteReference"/>
        </w:rPr>
        <w:footnoteRef/>
      </w:r>
      <w:r w:rsidRPr="006748B6">
        <w:t xml:space="preserve">Hamermesh, </w:t>
      </w:r>
      <w:r w:rsidRPr="006748B6">
        <w:rPr>
          <w:i/>
        </w:rPr>
        <w:t>supra</w:t>
      </w:r>
      <w:r w:rsidRPr="006748B6">
        <w:t xml:space="preserve"> note 52, at 171.</w:t>
      </w:r>
    </w:p>
  </w:footnote>
  <w:footnote w:id="64">
    <w:p w14:paraId="78ED7508" w14:textId="08E6C2CC" w:rsidR="00060C5F" w:rsidRPr="006748B6" w:rsidRDefault="00060C5F" w:rsidP="002E612F">
      <w:pPr>
        <w:pStyle w:val="FootnoteText"/>
        <w:ind w:firstLine="720"/>
      </w:pPr>
      <w:r w:rsidRPr="006748B6">
        <w:rPr>
          <w:rStyle w:val="FootnoteReference"/>
        </w:rPr>
        <w:footnoteRef/>
      </w:r>
      <w:r w:rsidRPr="006748B6">
        <w:t xml:space="preserve">This tension between fee shifting and shareholder consent is the an essay by Professor Lawrence A. Hamermesh that explores the limits of what he calls the "doctrine of corporate consent."  </w:t>
      </w:r>
      <w:r w:rsidRPr="006748B6">
        <w:rPr>
          <w:i/>
        </w:rPr>
        <w:t xml:space="preserve">See </w:t>
      </w:r>
      <w:r w:rsidRPr="006748B6">
        <w:t xml:space="preserve">Hamermesh, </w:t>
      </w:r>
      <w:r w:rsidRPr="006748B6">
        <w:rPr>
          <w:i/>
        </w:rPr>
        <w:t>supra</w:t>
      </w:r>
      <w:r w:rsidRPr="006748B6">
        <w:t xml:space="preserve"> note 50.</w:t>
      </w:r>
    </w:p>
  </w:footnote>
  <w:footnote w:id="65">
    <w:p w14:paraId="51755A2E" w14:textId="45CBDC85"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notes 17-23 and accompanying text.</w:t>
      </w:r>
    </w:p>
  </w:footnote>
  <w:footnote w:id="66">
    <w:p w14:paraId="3C6587B3" w14:textId="3B6BA0D5" w:rsidR="00060C5F" w:rsidRPr="006748B6" w:rsidRDefault="00060C5F" w:rsidP="002E612F">
      <w:pPr>
        <w:pStyle w:val="FootnoteText"/>
        <w:ind w:firstLine="720"/>
      </w:pPr>
      <w:r w:rsidRPr="006748B6">
        <w:rPr>
          <w:rStyle w:val="FootnoteReference"/>
        </w:rPr>
        <w:footnoteRef/>
      </w:r>
      <w:r w:rsidRPr="006748B6">
        <w:t xml:space="preserve">Hamermesh, </w:t>
      </w:r>
      <w:r w:rsidRPr="006748B6">
        <w:rPr>
          <w:i/>
        </w:rPr>
        <w:t>supra</w:t>
      </w:r>
      <w:r w:rsidRPr="006748B6">
        <w:t xml:space="preserve"> note 52, at 167.</w:t>
      </w:r>
    </w:p>
  </w:footnote>
  <w:footnote w:id="67">
    <w:p w14:paraId="6B75FEB1" w14:textId="1DEA54A9" w:rsidR="00060C5F" w:rsidRPr="006748B6" w:rsidRDefault="00060C5F" w:rsidP="002E612F">
      <w:pPr>
        <w:pStyle w:val="FootnoteText"/>
        <w:ind w:firstLine="720"/>
      </w:pPr>
      <w:r w:rsidRPr="006748B6">
        <w:rPr>
          <w:rStyle w:val="FootnoteReference"/>
        </w:rPr>
        <w:footnoteRef/>
      </w:r>
      <w:r w:rsidRPr="006748B6">
        <w:t xml:space="preserve">Fisher, </w:t>
      </w:r>
      <w:r w:rsidRPr="006748B6">
        <w:rPr>
          <w:i/>
        </w:rPr>
        <w:t>supra</w:t>
      </w:r>
      <w:r w:rsidRPr="006748B6">
        <w:t xml:space="preserve"> note 34.  </w:t>
      </w:r>
    </w:p>
  </w:footnote>
  <w:footnote w:id="68">
    <w:p w14:paraId="6ACEF8E8" w14:textId="1D009DF7" w:rsidR="00060C5F" w:rsidRPr="006748B6" w:rsidRDefault="00060C5F" w:rsidP="002E612F">
      <w:pPr>
        <w:pStyle w:val="FootnoteText"/>
        <w:ind w:firstLine="720"/>
      </w:pPr>
      <w:r w:rsidRPr="006748B6">
        <w:rPr>
          <w:rStyle w:val="FootnoteReference"/>
        </w:rPr>
        <w:footnoteRef/>
      </w:r>
      <w:r w:rsidRPr="006748B6">
        <w:t xml:space="preserve">Hamermesh, </w:t>
      </w:r>
      <w:r w:rsidRPr="006748B6">
        <w:rPr>
          <w:i/>
        </w:rPr>
        <w:t>supra</w:t>
      </w:r>
      <w:r w:rsidRPr="006748B6">
        <w:t xml:space="preserve"> note 52, at 166.</w:t>
      </w:r>
    </w:p>
  </w:footnote>
  <w:footnote w:id="69">
    <w:p w14:paraId="73E850F8" w14:textId="3BB8D231" w:rsidR="00060C5F" w:rsidRPr="006748B6" w:rsidRDefault="00060C5F" w:rsidP="002E612F">
      <w:pPr>
        <w:pStyle w:val="FootnoteText"/>
        <w:ind w:firstLine="720"/>
      </w:pPr>
      <w:r w:rsidRPr="006748B6">
        <w:rPr>
          <w:rStyle w:val="FootnoteReference"/>
        </w:rPr>
        <w:footnoteRef/>
      </w:r>
      <w:r w:rsidRPr="006748B6">
        <w:rPr>
          <w:i/>
        </w:rPr>
        <w:t>See id.</w:t>
      </w:r>
      <w:r w:rsidRPr="006748B6">
        <w:t xml:space="preserve"> at 167.</w:t>
      </w:r>
    </w:p>
  </w:footnote>
  <w:footnote w:id="70">
    <w:p w14:paraId="495883F4" w14:textId="36AFCE2F" w:rsidR="00060C5F" w:rsidRPr="006748B6" w:rsidRDefault="00060C5F" w:rsidP="002E612F">
      <w:pPr>
        <w:pStyle w:val="FootnoteText"/>
        <w:ind w:firstLine="720"/>
      </w:pPr>
      <w:r w:rsidRPr="006748B6">
        <w:rPr>
          <w:rStyle w:val="FootnoteReference"/>
        </w:rPr>
        <w:footnoteRef/>
      </w:r>
      <w:r w:rsidRPr="006748B6">
        <w:rPr>
          <w:rFonts w:cs="Times New Roman"/>
        </w:rPr>
        <w:t xml:space="preserve">S.B. 236, Del. State S., 147th Gen. Assemb. (Del. 2014), </w:t>
      </w:r>
      <w:r w:rsidRPr="006748B6">
        <w:rPr>
          <w:rFonts w:cs="Times New Roman"/>
          <w:i/>
        </w:rPr>
        <w:t>available at</w:t>
      </w:r>
      <w:r w:rsidRPr="006748B6">
        <w:rPr>
          <w:rFonts w:cs="Times New Roman"/>
        </w:rPr>
        <w:t xml:space="preserve"> http://legis.delaware.gov/LIS/lis147.nsf/vwlegislation/6FC0ACD6AA8A7AB885257CEC004EE4E5.</w:t>
      </w:r>
    </w:p>
  </w:footnote>
  <w:footnote w:id="71">
    <w:p w14:paraId="1229367C" w14:textId="5B69994E" w:rsidR="00060C5F" w:rsidRPr="006748B6" w:rsidRDefault="00060C5F" w:rsidP="008E48F1">
      <w:pPr>
        <w:pStyle w:val="FootnoteText"/>
        <w:ind w:firstLine="720"/>
        <w:rPr>
          <w:u w:val="single"/>
        </w:rPr>
      </w:pPr>
      <w:r w:rsidRPr="006748B6">
        <w:rPr>
          <w:rStyle w:val="FootnoteReference"/>
        </w:rPr>
        <w:footnoteRef/>
      </w:r>
      <w:r w:rsidRPr="006748B6">
        <w:rPr>
          <w:i/>
        </w:rPr>
        <w:t xml:space="preserve">See </w:t>
      </w:r>
      <w:r w:rsidRPr="006748B6">
        <w:t>Draft Legis., Nov. 8, 2013 (on file with author).</w:t>
      </w:r>
    </w:p>
  </w:footnote>
  <w:footnote w:id="72">
    <w:p w14:paraId="69E7F3B4" w14:textId="608E9187" w:rsidR="00060C5F" w:rsidRPr="006748B6" w:rsidRDefault="00060C5F" w:rsidP="002E612F">
      <w:pPr>
        <w:pStyle w:val="FootnoteText"/>
        <w:ind w:firstLine="720"/>
      </w:pPr>
      <w:r w:rsidRPr="006748B6">
        <w:rPr>
          <w:rStyle w:val="FootnoteReference"/>
        </w:rPr>
        <w:footnoteRef/>
      </w:r>
      <w:r w:rsidRPr="006748B6">
        <w:rPr>
          <w:i/>
        </w:rPr>
        <w:t xml:space="preserve">See, e.g., </w:t>
      </w:r>
      <w:r w:rsidRPr="006748B6">
        <w:t>Williams v. Geier, 671 A.2d 1368, 1385 n.36 (Del. 1996).</w:t>
      </w:r>
    </w:p>
  </w:footnote>
  <w:footnote w:id="73">
    <w:p w14:paraId="415CDFBC" w14:textId="3B350245" w:rsidR="00060C5F" w:rsidRPr="006748B6" w:rsidRDefault="00060C5F" w:rsidP="009E707D">
      <w:pPr>
        <w:pStyle w:val="FootnoteText"/>
        <w:ind w:firstLine="720"/>
      </w:pPr>
      <w:r w:rsidRPr="006748B6">
        <w:rPr>
          <w:rStyle w:val="FootnoteReference"/>
        </w:rPr>
        <w:footnoteRef/>
      </w:r>
      <w:r w:rsidRPr="006748B6">
        <w:t xml:space="preserve">The draft amendment currently being circulated also includes a provision specifically permitting corporations to include forum-selection provisions in their bylaws and certificates of incorporation, reflecting a more balanced approach to the problem.  </w:t>
      </w:r>
      <w:r w:rsidRPr="006748B6">
        <w:rPr>
          <w:i/>
        </w:rPr>
        <w:t xml:space="preserve">See </w:t>
      </w:r>
      <w:r w:rsidRPr="006748B6">
        <w:t>Draft Legis., Nov. 8, 2013 (on file with author).</w:t>
      </w:r>
    </w:p>
  </w:footnote>
  <w:footnote w:id="74">
    <w:p w14:paraId="0A0D897E" w14:textId="55CCA0BD" w:rsidR="00060C5F" w:rsidRPr="006748B6" w:rsidRDefault="00060C5F" w:rsidP="002E612F">
      <w:pPr>
        <w:pStyle w:val="FootnoteText"/>
        <w:ind w:firstLine="720"/>
      </w:pPr>
      <w:r w:rsidRPr="006748B6">
        <w:rPr>
          <w:rStyle w:val="FootnoteReference"/>
        </w:rPr>
        <w:footnoteRef/>
      </w:r>
      <w:r w:rsidRPr="006748B6">
        <w:t xml:space="preserve">Per the Court in </w:t>
      </w:r>
      <w:r w:rsidRPr="006748B6">
        <w:rPr>
          <w:i/>
        </w:rPr>
        <w:t>ATP Tour</w:t>
      </w:r>
      <w:r w:rsidRPr="006748B6">
        <w:t>, deterring litigation is "not invariably an improper purpose."  ATP Tour, 91 A.3d at 560.</w:t>
      </w:r>
    </w:p>
  </w:footnote>
  <w:footnote w:id="75">
    <w:p w14:paraId="66ACC4DB" w14:textId="0C9773D3" w:rsidR="00060C5F" w:rsidRPr="006748B6" w:rsidRDefault="00060C5F" w:rsidP="002E612F">
      <w:pPr>
        <w:pStyle w:val="FootnoteText"/>
        <w:ind w:firstLine="720"/>
      </w:pPr>
      <w:r w:rsidRPr="006748B6">
        <w:rPr>
          <w:rStyle w:val="FootnoteReference"/>
        </w:rPr>
        <w:footnoteRef/>
      </w:r>
      <w:r w:rsidRPr="006748B6">
        <w:t xml:space="preserve">Steven M. Davidoff, Jill Fisch, &amp; Sean J. Griffith, </w:t>
      </w:r>
      <w:r w:rsidRPr="006748B6">
        <w:rPr>
          <w:i/>
        </w:rPr>
        <w:t>Confronting the Peppercorn Settlement in Merger Litigation: An Empirical Analysis and a Proposal for Reform</w:t>
      </w:r>
      <w:r w:rsidRPr="006748B6">
        <w:t>, 93 Tex. L. Rev. 557, 559 ("In 2013, . . . 97.5% of deals over $100 million were challenged through litigation, and each transaction triggered an average of seven separate lawsuits.").</w:t>
      </w:r>
    </w:p>
  </w:footnote>
  <w:footnote w:id="76">
    <w:p w14:paraId="62552072" w14:textId="5152D991" w:rsidR="00060C5F" w:rsidRPr="006748B6" w:rsidRDefault="00060C5F" w:rsidP="002E612F">
      <w:pPr>
        <w:pStyle w:val="FootnoteText"/>
        <w:ind w:firstLine="720"/>
        <w:rPr>
          <w:i/>
        </w:rPr>
      </w:pPr>
      <w:r w:rsidRPr="006748B6">
        <w:rPr>
          <w:rStyle w:val="FootnoteReference"/>
        </w:rPr>
        <w:footnoteRef/>
      </w:r>
      <w:r w:rsidRPr="006748B6">
        <w:t xml:space="preserve">Dias v. Purches, 2012 WL 4503174, at *5 (Del. Ch. Oct. 1, 2012).  In </w:t>
      </w:r>
      <w:r w:rsidRPr="006748B6">
        <w:rPr>
          <w:i/>
        </w:rPr>
        <w:t>Dias</w:t>
      </w:r>
      <w:r w:rsidRPr="006748B6">
        <w:t xml:space="preserve">, the Court elaborated on the balance of interests that has led to this development:  "Rather than carefully considering what claims have merit, some plaintiffs file a broad and general complaint, taking a scattershot approach in the hopes that the case will be expedited.  Those plaintiffs then rely on the Court to winnow their claims, determining which are meritorious and what value they confer upon the stockholders.  This dynamic obviously creates a risk of excessive merger litigation, where the costs to stockholders exceed the benefits.  On the other hand, the diffuse nature of corporate ownership means that, absent class actions, many wrongs would not be remedied.  Class actions give any stockholder sufficiently interested the ability to act as an independent prosecutor and vindicate stockholders' rights.  Class actions also give attorneys a reason to represent clients whose claims are individually worth little but in the aggregate are worth much more."  </w:t>
      </w:r>
      <w:r w:rsidRPr="006748B6">
        <w:rPr>
          <w:i/>
        </w:rPr>
        <w:t>Id.</w:t>
      </w:r>
    </w:p>
  </w:footnote>
  <w:footnote w:id="77">
    <w:p w14:paraId="0406E484" w14:textId="7258DD3E" w:rsidR="00060C5F" w:rsidRPr="006748B6" w:rsidRDefault="00060C5F" w:rsidP="002E612F">
      <w:pPr>
        <w:pStyle w:val="FootnoteText"/>
        <w:ind w:firstLine="720"/>
      </w:pPr>
      <w:r w:rsidRPr="006748B6">
        <w:rPr>
          <w:rStyle w:val="FootnoteReference"/>
        </w:rPr>
        <w:footnoteRef/>
      </w:r>
      <w:r w:rsidRPr="006748B6">
        <w:t>Davidoff, Fisch, &amp; Griffith,</w:t>
      </w:r>
      <w:r w:rsidRPr="006748B6">
        <w:rPr>
          <w:i/>
        </w:rPr>
        <w:t xml:space="preserve"> supra </w:t>
      </w:r>
      <w:r w:rsidRPr="006748B6">
        <w:t>note 75, at 566-68 (discussing disclosure-only settlements).</w:t>
      </w:r>
    </w:p>
  </w:footnote>
  <w:footnote w:id="78">
    <w:p w14:paraId="1BBCBCD8" w14:textId="519BE4BF" w:rsidR="00060C5F" w:rsidRPr="006748B6" w:rsidRDefault="00060C5F" w:rsidP="002E612F">
      <w:pPr>
        <w:pStyle w:val="FootnoteText"/>
        <w:ind w:firstLine="720"/>
      </w:pPr>
      <w:r w:rsidRPr="006748B6">
        <w:rPr>
          <w:rStyle w:val="FootnoteReference"/>
        </w:rPr>
        <w:footnoteRef/>
      </w:r>
      <w:r w:rsidRPr="006748B6">
        <w:t xml:space="preserve">Hoffman, </w:t>
      </w:r>
      <w:r w:rsidRPr="006748B6">
        <w:rPr>
          <w:i/>
        </w:rPr>
        <w:t>supra</w:t>
      </w:r>
      <w:r w:rsidRPr="006748B6">
        <w:t xml:space="preserve"> note 34.</w:t>
      </w:r>
    </w:p>
  </w:footnote>
  <w:footnote w:id="79">
    <w:p w14:paraId="2750C164" w14:textId="07687588" w:rsidR="00060C5F" w:rsidRPr="006748B6" w:rsidRDefault="00060C5F" w:rsidP="002E612F">
      <w:pPr>
        <w:pStyle w:val="FootnoteText"/>
        <w:ind w:firstLine="720"/>
      </w:pPr>
      <w:r w:rsidRPr="006748B6">
        <w:rPr>
          <w:rStyle w:val="FootnoteReference"/>
        </w:rPr>
        <w:footnoteRef/>
      </w:r>
      <w:r w:rsidRPr="006748B6">
        <w:rPr>
          <w:i/>
        </w:rPr>
        <w:t xml:space="preserve">Cf. </w:t>
      </w:r>
      <w:r w:rsidRPr="006748B6">
        <w:t xml:space="preserve">Sushon, Brutlag, &amp; Moss, </w:t>
      </w:r>
      <w:r w:rsidRPr="006748B6">
        <w:rPr>
          <w:i/>
        </w:rPr>
        <w:t>supra</w:t>
      </w:r>
      <w:r w:rsidRPr="006748B6">
        <w:t xml:space="preserve"> note 53 ("These statistics [showing the discrepancy between shareholder votes in favor of mergers and the increase in shareholder litigation] suggest that many shareholder lawsuits are not performing an important policing function at all, but instead are brought to generate plaintiffs' attorneys' fees.").</w:t>
      </w:r>
    </w:p>
  </w:footnote>
  <w:footnote w:id="80">
    <w:p w14:paraId="2E27F56B" w14:textId="1806027E" w:rsidR="00060C5F" w:rsidRPr="006748B6" w:rsidRDefault="00060C5F" w:rsidP="002E612F">
      <w:pPr>
        <w:pStyle w:val="FootnoteText"/>
        <w:ind w:firstLine="720"/>
      </w:pPr>
      <w:r w:rsidRPr="006748B6">
        <w:rPr>
          <w:rStyle w:val="FootnoteReference"/>
        </w:rPr>
        <w:footnoteRef/>
      </w:r>
      <w:r w:rsidRPr="006748B6">
        <w:t>Davidoff, Fisch, &amp; Griffith,</w:t>
      </w:r>
      <w:r w:rsidRPr="006748B6">
        <w:rPr>
          <w:i/>
        </w:rPr>
        <w:t xml:space="preserve"> supra </w:t>
      </w:r>
      <w:r w:rsidRPr="006748B6">
        <w:t>note 75, at 558.</w:t>
      </w:r>
    </w:p>
  </w:footnote>
  <w:footnote w:id="81">
    <w:p w14:paraId="69DC1DDA" w14:textId="7E79E627"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w:t>
      </w:r>
      <w:r w:rsidRPr="006748B6">
        <w:rPr>
          <w:i/>
        </w:rPr>
        <w:t>Dias</w:t>
      </w:r>
      <w:r w:rsidRPr="006748B6">
        <w:t>, 2012 WL 4503174, at *7 (Del. Ch. Jul. 31, 2012) ("Stockholders ultimately pay for the defense of meritless expedited litigation, offsetting the benefits received by a stockholder class.").</w:t>
      </w:r>
    </w:p>
  </w:footnote>
  <w:footnote w:id="82">
    <w:p w14:paraId="187B5FA3" w14:textId="79631111" w:rsidR="00060C5F" w:rsidRPr="006748B6" w:rsidRDefault="00060C5F" w:rsidP="002E612F">
      <w:pPr>
        <w:pStyle w:val="FootnoteText"/>
        <w:ind w:firstLine="720"/>
      </w:pPr>
      <w:r w:rsidRPr="006748B6">
        <w:rPr>
          <w:rStyle w:val="FootnoteReference"/>
        </w:rPr>
        <w:footnoteRef/>
      </w:r>
      <w:r w:rsidRPr="006748B6">
        <w:t xml:space="preserve">For the purposes of this discussion, the ATP Tour bylaws as reproduced by the Court in </w:t>
      </w:r>
      <w:r w:rsidRPr="006748B6">
        <w:rPr>
          <w:i/>
        </w:rPr>
        <w:t>ATP Tour</w:t>
      </w:r>
      <w:r w:rsidRPr="006748B6">
        <w:t xml:space="preserve"> are considered representative of all fee-shifting bylaws.  Doing so makes sense in light of the similarity between ATP Tour's bylaws and those that have been adopted by Hemispherx, First Aviation, and other corporations since </w:t>
      </w:r>
      <w:r w:rsidRPr="006748B6">
        <w:rPr>
          <w:i/>
        </w:rPr>
        <w:t>ATP Tour</w:t>
      </w:r>
      <w:r w:rsidRPr="006748B6">
        <w:t xml:space="preserve"> was decided.</w:t>
      </w:r>
    </w:p>
  </w:footnote>
  <w:footnote w:id="83">
    <w:p w14:paraId="5A520E3F" w14:textId="7C77E132"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notes 55-59 and accompanying text.</w:t>
      </w:r>
    </w:p>
  </w:footnote>
  <w:footnote w:id="84">
    <w:p w14:paraId="6A131582" w14:textId="19A66D78" w:rsidR="00060C5F" w:rsidRPr="006748B6" w:rsidRDefault="00060C5F" w:rsidP="002E612F">
      <w:pPr>
        <w:pStyle w:val="FootnoteText"/>
        <w:ind w:firstLine="720"/>
      </w:pPr>
      <w:r w:rsidRPr="006748B6">
        <w:rPr>
          <w:rStyle w:val="FootnoteReference"/>
        </w:rPr>
        <w:footnoteRef/>
      </w:r>
      <w:r w:rsidRPr="006748B6">
        <w:rPr>
          <w:i/>
        </w:rPr>
        <w:t>Cf.</w:t>
      </w:r>
      <w:r w:rsidRPr="006748B6">
        <w:t xml:space="preserve"> Hamermesh, </w:t>
      </w:r>
      <w:r w:rsidRPr="006748B6">
        <w:rPr>
          <w:i/>
        </w:rPr>
        <w:t xml:space="preserve">supra </w:t>
      </w:r>
      <w:r w:rsidRPr="006748B6">
        <w:t>note 52, at 168 (suggesting that fee-shifting bylaws such as ATP Tour's significantly "impair the rights of investors").</w:t>
      </w:r>
    </w:p>
  </w:footnote>
  <w:footnote w:id="85">
    <w:p w14:paraId="519F1864" w14:textId="15BD269D" w:rsidR="00060C5F" w:rsidRPr="006748B6" w:rsidRDefault="00060C5F" w:rsidP="002E612F">
      <w:pPr>
        <w:pStyle w:val="FootnoteText"/>
        <w:ind w:firstLine="720"/>
      </w:pPr>
      <w:r w:rsidRPr="006748B6">
        <w:rPr>
          <w:rStyle w:val="FootnoteReference"/>
        </w:rPr>
        <w:footnoteRef/>
      </w:r>
      <w:r w:rsidRPr="006748B6">
        <w:t xml:space="preserve">Fisher, </w:t>
      </w:r>
      <w:r w:rsidRPr="006748B6">
        <w:rPr>
          <w:i/>
        </w:rPr>
        <w:t xml:space="preserve">supra </w:t>
      </w:r>
      <w:r w:rsidRPr="006748B6">
        <w:t>note 34.</w:t>
      </w:r>
    </w:p>
  </w:footnote>
  <w:footnote w:id="86">
    <w:p w14:paraId="2958EB0B" w14:textId="68AF68E1" w:rsidR="00060C5F" w:rsidRPr="006748B6" w:rsidRDefault="00060C5F" w:rsidP="002E612F">
      <w:pPr>
        <w:pStyle w:val="FootnoteText"/>
        <w:ind w:firstLine="720"/>
      </w:pPr>
      <w:r w:rsidRPr="006748B6">
        <w:rPr>
          <w:rStyle w:val="FootnoteReference"/>
        </w:rPr>
        <w:footnoteRef/>
      </w:r>
      <w:r w:rsidRPr="006748B6">
        <w:rPr>
          <w:i/>
        </w:rPr>
        <w:t xml:space="preserve">See infra </w:t>
      </w:r>
      <w:r w:rsidRPr="006748B6">
        <w:t>Part IV.C.</w:t>
      </w:r>
    </w:p>
  </w:footnote>
  <w:footnote w:id="87">
    <w:p w14:paraId="5AD973CE" w14:textId="5B54A881" w:rsidR="00060C5F" w:rsidRPr="006748B6" w:rsidRDefault="00060C5F" w:rsidP="00C226DE">
      <w:pPr>
        <w:pStyle w:val="FootnoteText"/>
        <w:ind w:firstLine="720"/>
      </w:pPr>
      <w:r w:rsidRPr="006748B6">
        <w:rPr>
          <w:rStyle w:val="FootnoteReference"/>
        </w:rPr>
        <w:footnoteRef/>
      </w:r>
      <w:r w:rsidRPr="006748B6">
        <w:t xml:space="preserve">The draft amendment appears to be an attempt to do so; the drafters included a provision that will specifically allow corporations to impose forum selection provisions on their shareholders.  </w:t>
      </w:r>
      <w:r w:rsidRPr="006748B6">
        <w:rPr>
          <w:i/>
        </w:rPr>
        <w:t xml:space="preserve">See </w:t>
      </w:r>
      <w:r w:rsidRPr="006748B6">
        <w:t xml:space="preserve">Draft Legis., Nov. 8, 2013 (on file with author).  Because such provisions have already been endorsed by the Court of Chancery in </w:t>
      </w:r>
      <w:r w:rsidRPr="006748B6">
        <w:rPr>
          <w:i/>
        </w:rPr>
        <w:t>Boilermakers</w:t>
      </w:r>
      <w:r w:rsidRPr="006748B6">
        <w:t xml:space="preserve">, discussed </w:t>
      </w:r>
      <w:r w:rsidRPr="006748B6">
        <w:rPr>
          <w:i/>
        </w:rPr>
        <w:t>infra</w:t>
      </w:r>
      <w:r w:rsidRPr="006748B6">
        <w:t>, those in favor of dampening shareholder litigation may not find this effort sufficient.</w:t>
      </w:r>
    </w:p>
  </w:footnote>
  <w:footnote w:id="88">
    <w:p w14:paraId="38A089A9" w14:textId="7175879B"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Part III.A.</w:t>
      </w:r>
    </w:p>
  </w:footnote>
  <w:footnote w:id="89">
    <w:p w14:paraId="6E361AD7" w14:textId="19C5ABA5" w:rsidR="00060C5F" w:rsidRPr="006748B6" w:rsidRDefault="00060C5F" w:rsidP="002E612F">
      <w:pPr>
        <w:pStyle w:val="FootnoteText"/>
        <w:ind w:firstLine="720"/>
      </w:pPr>
      <w:r w:rsidRPr="006748B6">
        <w:rPr>
          <w:rStyle w:val="FootnoteReference"/>
        </w:rPr>
        <w:footnoteRef/>
      </w:r>
      <w:r w:rsidRPr="006748B6">
        <w:rPr>
          <w:i/>
        </w:rPr>
        <w:t xml:space="preserve">See </w:t>
      </w:r>
      <w:r w:rsidRPr="006748B6">
        <w:t xml:space="preserve">Edward B. Micheletti &amp; Jenness E. Parker, </w:t>
      </w:r>
      <w:r w:rsidRPr="006748B6">
        <w:rPr>
          <w:i/>
        </w:rPr>
        <w:t>Multi-Jurisdictional Litigation: Who Caused This Problem, and Can It Be Fixed?</w:t>
      </w:r>
      <w:r w:rsidRPr="006748B6">
        <w:t xml:space="preserve">, 37 </w:t>
      </w:r>
      <w:r w:rsidRPr="006748B6">
        <w:rPr>
          <w:smallCaps/>
        </w:rPr>
        <w:t>Del. J. Corp. L</w:t>
      </w:r>
      <w:r w:rsidRPr="006748B6">
        <w:t>. 1, 25 (2012).</w:t>
      </w:r>
    </w:p>
  </w:footnote>
  <w:footnote w:id="90">
    <w:p w14:paraId="7F22124E" w14:textId="30463471"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939 ("[F]orum selection bylaws are not facially invalid as a matter of statutory law.").</w:t>
      </w:r>
    </w:p>
  </w:footnote>
  <w:footnote w:id="91">
    <w:p w14:paraId="6C02CE25" w14:textId="1DEF5705"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560, n.38.</w:t>
      </w:r>
    </w:p>
  </w:footnote>
  <w:footnote w:id="92">
    <w:p w14:paraId="6731F45F" w14:textId="77777777" w:rsidR="00060C5F" w:rsidRPr="006748B6" w:rsidRDefault="00060C5F" w:rsidP="002E612F">
      <w:pPr>
        <w:pStyle w:val="FootnoteText"/>
        <w:ind w:firstLine="720"/>
      </w:pPr>
      <w:r w:rsidRPr="006748B6">
        <w:rPr>
          <w:rStyle w:val="FootnoteReference"/>
        </w:rPr>
        <w:footnoteRef/>
      </w:r>
      <w:r w:rsidRPr="006748B6">
        <w:t xml:space="preserve">For a discussion of </w:t>
      </w:r>
      <w:r w:rsidRPr="006748B6">
        <w:rPr>
          <w:i/>
        </w:rPr>
        <w:t>Boilermakers</w:t>
      </w:r>
      <w:r w:rsidRPr="006748B6">
        <w:t xml:space="preserve"> and </w:t>
      </w:r>
      <w:r w:rsidRPr="006748B6">
        <w:rPr>
          <w:i/>
        </w:rPr>
        <w:t>ATP Tour</w:t>
      </w:r>
      <w:r w:rsidRPr="006748B6">
        <w:t xml:space="preserve"> in the context of the potential for corporate use of mandatory arbitration bylaws, see Claudia H. Allen, </w:t>
      </w:r>
      <w:r w:rsidRPr="006748B6">
        <w:rPr>
          <w:i/>
        </w:rPr>
        <w:t>Bylaws Mandating Arbitration of Stockholder Disputes?</w:t>
      </w:r>
      <w:r w:rsidRPr="006748B6">
        <w:t xml:space="preserve">, 39 </w:t>
      </w:r>
      <w:r w:rsidRPr="006748B6">
        <w:rPr>
          <w:smallCaps/>
        </w:rPr>
        <w:t>Del. J. Corp. L</w:t>
      </w:r>
      <w:r w:rsidRPr="006748B6">
        <w:t>. (forthcoming) (manuscript at 5-13) (</w:t>
      </w:r>
      <w:r w:rsidRPr="006748B6">
        <w:rPr>
          <w:i/>
        </w:rPr>
        <w:t xml:space="preserve">available at </w:t>
      </w:r>
      <w:r w:rsidRPr="006748B6">
        <w:t>http://papers.ssrn.com/sol3/papers.cfm?abstract_</w:t>
      </w:r>
    </w:p>
    <w:p w14:paraId="57840D8B" w14:textId="0278DB66" w:rsidR="00060C5F" w:rsidRPr="006748B6" w:rsidRDefault="00060C5F" w:rsidP="00E41379">
      <w:pPr>
        <w:pStyle w:val="FootnoteText"/>
      </w:pPr>
      <w:r w:rsidRPr="006748B6">
        <w:t>id=2444771).</w:t>
      </w:r>
    </w:p>
  </w:footnote>
  <w:footnote w:id="93">
    <w:p w14:paraId="0D01D48B" w14:textId="0D402820" w:rsidR="00060C5F" w:rsidRPr="006748B6" w:rsidRDefault="00060C5F" w:rsidP="002E612F">
      <w:pPr>
        <w:pStyle w:val="FootnoteText"/>
        <w:ind w:firstLine="720"/>
      </w:pPr>
      <w:r w:rsidRPr="006748B6">
        <w:rPr>
          <w:rStyle w:val="FootnoteReference"/>
        </w:rPr>
        <w:footnoteRef/>
      </w:r>
      <w:r w:rsidRPr="006748B6">
        <w:rPr>
          <w:i/>
        </w:rPr>
        <w:t>E.g., Airgas</w:t>
      </w:r>
      <w:r w:rsidRPr="006748B6">
        <w:t xml:space="preserve">, 8 A.3d 1182, 1188 (Del. 2010) ("Corporate charters and bylaws are contracts among a corporation's shareholders: therefore, our rules of contract interpretation apply."); </w:t>
      </w:r>
      <w:r w:rsidRPr="006748B6">
        <w:rPr>
          <w:i/>
        </w:rPr>
        <w:t>Kidsco</w:t>
      </w:r>
      <w:r w:rsidRPr="006748B6">
        <w:t>, 674 A.2d at 492 (Del. Ch. 1995) (</w:t>
      </w:r>
      <w:r w:rsidRPr="006748B6">
        <w:rPr>
          <w:i/>
        </w:rPr>
        <w:t>aff'd</w:t>
      </w:r>
      <w:r w:rsidRPr="006748B6">
        <w:t xml:space="preserve"> 1995 WL 715886 (Del. Supr.)) ("[A]lthough the by-laws are a contract between the corporation and its stockholders, the contract was subject to the board's power to amend the by-laws unilaterally."). </w:t>
      </w:r>
    </w:p>
  </w:footnote>
  <w:footnote w:id="94">
    <w:p w14:paraId="1CC3431F" w14:textId="0FEEB6CA"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954-63.</w:t>
      </w:r>
    </w:p>
  </w:footnote>
  <w:footnote w:id="95">
    <w:p w14:paraId="35EF42DE" w14:textId="49953A5C"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939.</w:t>
      </w:r>
    </w:p>
  </w:footnote>
  <w:footnote w:id="96">
    <w:p w14:paraId="4750D5BC" w14:textId="38819053"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955-56 ("Stockholders are on notice that . . . the board itself may act unilaterally to adopt bylaws . . . .").</w:t>
      </w:r>
    </w:p>
  </w:footnote>
  <w:footnote w:id="97">
    <w:p w14:paraId="4BC0ABFF" w14:textId="77777777"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560.</w:t>
      </w:r>
    </w:p>
  </w:footnote>
  <w:footnote w:id="98">
    <w:p w14:paraId="17AA75F8" w14:textId="5AD78F3E"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Hamermesh, </w:t>
      </w:r>
      <w:r w:rsidRPr="006748B6">
        <w:rPr>
          <w:i/>
        </w:rPr>
        <w:t xml:space="preserve">supra </w:t>
      </w:r>
      <w:r w:rsidRPr="006748B6">
        <w:t>note 52, at 171.</w:t>
      </w:r>
    </w:p>
  </w:footnote>
  <w:footnote w:id="99">
    <w:p w14:paraId="2F5EB84C" w14:textId="3F883122" w:rsidR="00060C5F" w:rsidRPr="006748B6" w:rsidRDefault="00060C5F" w:rsidP="002E612F">
      <w:pPr>
        <w:pStyle w:val="FootnoteText"/>
        <w:ind w:firstLine="720"/>
      </w:pPr>
      <w:r w:rsidRPr="006748B6">
        <w:rPr>
          <w:rStyle w:val="FootnoteReference"/>
        </w:rPr>
        <w:footnoteRef/>
      </w:r>
      <w:r w:rsidRPr="006748B6">
        <w:t>Unocal Corp. v. Mesa Petroleum Co., 493 A.2d 946, 957 (Del. 1985).</w:t>
      </w:r>
    </w:p>
  </w:footnote>
  <w:footnote w:id="100">
    <w:p w14:paraId="7A8FB91C" w14:textId="77777777"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954.</w:t>
      </w:r>
    </w:p>
  </w:footnote>
  <w:footnote w:id="101">
    <w:p w14:paraId="07914B37" w14:textId="5DC280BA"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Part II.B.</w:t>
      </w:r>
    </w:p>
  </w:footnote>
  <w:footnote w:id="102">
    <w:p w14:paraId="76BD5D8E" w14:textId="77777777"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954.</w:t>
      </w:r>
    </w:p>
  </w:footnote>
  <w:footnote w:id="103">
    <w:p w14:paraId="567CA731" w14:textId="510FD614"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w:t>
      </w:r>
      <w:r w:rsidRPr="006748B6">
        <w:rPr>
          <w:i/>
        </w:rPr>
        <w:t>ATP Tour</w:t>
      </w:r>
      <w:r w:rsidRPr="006748B6">
        <w:t>, 91 A.3d at 560 (noting that deterring litigation is "</w:t>
      </w:r>
      <w:r w:rsidRPr="006748B6">
        <w:rPr>
          <w:rFonts w:cs="Times New Roman"/>
        </w:rPr>
        <w:t>not invariably an improper purpose").</w:t>
      </w:r>
    </w:p>
  </w:footnote>
  <w:footnote w:id="104">
    <w:p w14:paraId="05FD59EE" w14:textId="441FCE03"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944.</w:t>
      </w:r>
    </w:p>
  </w:footnote>
  <w:footnote w:id="105">
    <w:p w14:paraId="7C817D1B" w14:textId="49669003"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("[M]ultiforum litigation . . . to challenge a single corporate action, imposes high costs on the corporations and hurts investors by causing needless costs that are ultimately born [sic] by stockholders . . . .").</w:t>
      </w:r>
    </w:p>
  </w:footnote>
  <w:footnote w:id="106">
    <w:p w14:paraId="5973A805" w14:textId="63E2E15F" w:rsidR="00060C5F" w:rsidRPr="006748B6" w:rsidRDefault="00060C5F" w:rsidP="002E612F">
      <w:pPr>
        <w:pStyle w:val="FootnoteText"/>
        <w:ind w:firstLine="720"/>
      </w:pPr>
      <w:r w:rsidRPr="006748B6">
        <w:rPr>
          <w:rStyle w:val="FootnoteReference"/>
        </w:rPr>
        <w:footnoteRef/>
      </w:r>
      <w:r w:rsidRPr="006748B6">
        <w:t xml:space="preserve"> Allen, </w:t>
      </w:r>
      <w:r w:rsidRPr="006748B6">
        <w:rPr>
          <w:i/>
        </w:rPr>
        <w:t xml:space="preserve">supra </w:t>
      </w:r>
      <w:r w:rsidRPr="006748B6">
        <w:t>note 92, at 12</w:t>
      </w:r>
      <w:r w:rsidRPr="006748B6">
        <w:rPr>
          <w:i/>
        </w:rPr>
        <w:t xml:space="preserve"> </w:t>
      </w:r>
      <w:r w:rsidRPr="006748B6">
        <w:t>("On a spectrum, exclusive forum provisions would seem to have the most modest impact, since they affect the place where litigation proceeds and not whether it moves forward, while fee-shifting would have the strongest impact, as it creates the specter of significant, unknown expenses solely by virtue of unsuccessfully pursuing a case.").</w:t>
      </w:r>
    </w:p>
  </w:footnote>
  <w:footnote w:id="107">
    <w:p w14:paraId="706311CE" w14:textId="59DE8A24"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Part III.A.</w:t>
      </w:r>
    </w:p>
  </w:footnote>
  <w:footnote w:id="108">
    <w:p w14:paraId="725FC341" w14:textId="496679F1" w:rsidR="00060C5F" w:rsidRPr="006748B6" w:rsidRDefault="00060C5F" w:rsidP="002E612F">
      <w:pPr>
        <w:pStyle w:val="FootnoteText"/>
        <w:ind w:firstLine="720"/>
      </w:pPr>
      <w:r w:rsidRPr="006748B6">
        <w:rPr>
          <w:rStyle w:val="FootnoteReference"/>
        </w:rPr>
        <w:footnoteRef/>
      </w:r>
      <w:r w:rsidRPr="006748B6">
        <w:rPr>
          <w:i/>
        </w:rPr>
        <w:t xml:space="preserve">See supra </w:t>
      </w:r>
      <w:r w:rsidRPr="006748B6">
        <w:t>Part III.B.</w:t>
      </w:r>
    </w:p>
  </w:footnote>
  <w:footnote w:id="109">
    <w:p w14:paraId="4D4953B5" w14:textId="3B9BA6AE" w:rsidR="00060C5F" w:rsidRPr="006748B6" w:rsidRDefault="00060C5F" w:rsidP="002E612F">
      <w:pPr>
        <w:pStyle w:val="FootnoteText"/>
        <w:ind w:firstLine="720"/>
      </w:pPr>
      <w:r w:rsidRPr="006748B6">
        <w:rPr>
          <w:rStyle w:val="FootnoteReference"/>
        </w:rPr>
        <w:footnoteRef/>
      </w:r>
      <w:r w:rsidRPr="006748B6">
        <w:rPr>
          <w:i/>
        </w:rPr>
        <w:t xml:space="preserve">See infra </w:t>
      </w:r>
      <w:r w:rsidRPr="006748B6">
        <w:t xml:space="preserve">notes </w:t>
      </w:r>
      <w:r>
        <w:t>111-16</w:t>
      </w:r>
      <w:r w:rsidRPr="006748B6">
        <w:t xml:space="preserve"> and accompanying text.</w:t>
      </w:r>
    </w:p>
  </w:footnote>
  <w:footnote w:id="110">
    <w:p w14:paraId="2C915ECA" w14:textId="31410E3F" w:rsidR="00060C5F" w:rsidRPr="006748B6" w:rsidRDefault="00060C5F" w:rsidP="002E612F">
      <w:pPr>
        <w:pStyle w:val="FootnoteText"/>
        <w:ind w:firstLine="720"/>
      </w:pPr>
      <w:r w:rsidRPr="006748B6">
        <w:rPr>
          <w:rStyle w:val="FootnoteReference"/>
        </w:rPr>
        <w:footnoteRef/>
      </w:r>
      <w:r w:rsidRPr="006748B6">
        <w:rPr>
          <w:i/>
        </w:rPr>
        <w:t>See infra</w:t>
      </w:r>
      <w:r w:rsidRPr="006748B6">
        <w:t xml:space="preserve"> notes </w:t>
      </w:r>
      <w:r>
        <w:t>117-24</w:t>
      </w:r>
      <w:r w:rsidRPr="006748B6">
        <w:t xml:space="preserve"> and accompanying text.</w:t>
      </w:r>
    </w:p>
  </w:footnote>
  <w:footnote w:id="111">
    <w:p w14:paraId="0BE2F419" w14:textId="2DD54516" w:rsidR="00060C5F" w:rsidRPr="006748B6" w:rsidRDefault="00060C5F" w:rsidP="006E4F57">
      <w:pPr>
        <w:pStyle w:val="FootnoteText"/>
        <w:ind w:firstLine="720"/>
      </w:pPr>
      <w:r w:rsidRPr="006748B6">
        <w:rPr>
          <w:rStyle w:val="FootnoteReference"/>
        </w:rPr>
        <w:footnoteRef/>
      </w:r>
      <w:r w:rsidRPr="006748B6">
        <w:rPr>
          <w:i/>
        </w:rPr>
        <w:t>Cf.</w:t>
      </w:r>
      <w:r w:rsidRPr="006748B6">
        <w:t xml:space="preserve"> </w:t>
      </w:r>
      <w:r w:rsidRPr="006748B6">
        <w:rPr>
          <w:i/>
        </w:rPr>
        <w:t>Boilermakers</w:t>
      </w:r>
      <w:r w:rsidRPr="006748B6">
        <w:t>, 73 A.3d at 954 (suggesting that boards can craft bylaws in such a way that would preserve the corporation's ability to "waive the corporation's rights under the bylaw in a particular circumstance").</w:t>
      </w:r>
    </w:p>
  </w:footnote>
  <w:footnote w:id="112">
    <w:p w14:paraId="0DE7264E" w14:textId="3702E49C" w:rsidR="00060C5F" w:rsidRPr="006748B6" w:rsidRDefault="00060C5F" w:rsidP="002E612F">
      <w:pPr>
        <w:pStyle w:val="FootnoteText"/>
        <w:ind w:firstLine="720"/>
      </w:pPr>
      <w:r w:rsidRPr="006748B6">
        <w:rPr>
          <w:rStyle w:val="FootnoteReference"/>
        </w:rPr>
        <w:footnoteRef/>
      </w:r>
      <w:r w:rsidRPr="006748B6">
        <w:t xml:space="preserve">Fisher, </w:t>
      </w:r>
      <w:r w:rsidRPr="006748B6">
        <w:rPr>
          <w:i/>
        </w:rPr>
        <w:t>supra</w:t>
      </w:r>
      <w:r w:rsidRPr="006748B6">
        <w:t xml:space="preserve"> note 34.</w:t>
      </w:r>
    </w:p>
  </w:footnote>
  <w:footnote w:id="113">
    <w:p w14:paraId="4DB85C5B" w14:textId="45A71E79" w:rsidR="00060C5F" w:rsidRPr="006748B6" w:rsidRDefault="00060C5F" w:rsidP="002E612F">
      <w:pPr>
        <w:pStyle w:val="FootnoteText"/>
        <w:ind w:firstLine="720"/>
      </w:pPr>
      <w:r w:rsidRPr="006748B6">
        <w:rPr>
          <w:rStyle w:val="FootnoteReference"/>
        </w:rPr>
        <w:footnoteRef/>
      </w:r>
      <w:r w:rsidRPr="006748B6">
        <w:rPr>
          <w:rFonts w:cs="Times New Roman"/>
        </w:rPr>
        <w:t xml:space="preserve">Vergilii &amp; Mielcusny, </w:t>
      </w:r>
      <w:r w:rsidRPr="006748B6">
        <w:rPr>
          <w:rFonts w:cs="Times New Roman"/>
          <w:i/>
        </w:rPr>
        <w:t>supra</w:t>
      </w:r>
      <w:r w:rsidRPr="006748B6">
        <w:rPr>
          <w:rFonts w:cs="Times New Roman"/>
        </w:rPr>
        <w:t xml:space="preserve"> note 35.</w:t>
      </w:r>
    </w:p>
  </w:footnote>
  <w:footnote w:id="114">
    <w:p w14:paraId="620F23A1" w14:textId="77F6B52B" w:rsidR="00060C5F" w:rsidRPr="006748B6" w:rsidRDefault="00060C5F" w:rsidP="002E612F">
      <w:pPr>
        <w:pStyle w:val="FootnoteText"/>
        <w:ind w:firstLine="720"/>
      </w:pPr>
      <w:r w:rsidRPr="006748B6">
        <w:rPr>
          <w:rStyle w:val="FootnoteReference"/>
        </w:rPr>
        <w:footnoteRef/>
      </w:r>
      <w:r w:rsidRPr="006748B6">
        <w:t xml:space="preserve">Noked, </w:t>
      </w:r>
      <w:r w:rsidRPr="006748B6">
        <w:rPr>
          <w:i/>
        </w:rPr>
        <w:t>supra</w:t>
      </w:r>
      <w:r w:rsidRPr="006748B6">
        <w:t xml:space="preserve"> note 53.</w:t>
      </w:r>
    </w:p>
  </w:footnote>
  <w:footnote w:id="115">
    <w:p w14:paraId="3F7B5E3A" w14:textId="2FCE2310" w:rsidR="00060C5F" w:rsidRPr="006748B6" w:rsidRDefault="00060C5F" w:rsidP="002E612F">
      <w:pPr>
        <w:pStyle w:val="FootnoteText"/>
        <w:ind w:firstLine="720"/>
      </w:pPr>
      <w:r w:rsidRPr="006748B6">
        <w:rPr>
          <w:rStyle w:val="FootnoteReference"/>
        </w:rPr>
        <w:footnoteRef/>
      </w:r>
      <w:r w:rsidRPr="006748B6">
        <w:t xml:space="preserve">Sushon, Brutlag, &amp; Moss, </w:t>
      </w:r>
      <w:r w:rsidRPr="006748B6">
        <w:rPr>
          <w:i/>
        </w:rPr>
        <w:t>supra</w:t>
      </w:r>
      <w:r w:rsidRPr="006748B6">
        <w:t xml:space="preserve"> note 53.  </w:t>
      </w:r>
    </w:p>
  </w:footnote>
  <w:footnote w:id="116">
    <w:p w14:paraId="47D513ED" w14:textId="790E4E04"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w:t>
      </w:r>
      <w:r w:rsidRPr="006748B6">
        <w:rPr>
          <w:rFonts w:cs="Times New Roman"/>
        </w:rPr>
        <w:t xml:space="preserve">Vergilii &amp; Mielcusny, </w:t>
      </w:r>
      <w:r w:rsidRPr="006748B6">
        <w:rPr>
          <w:rFonts w:cs="Times New Roman"/>
          <w:i/>
        </w:rPr>
        <w:t xml:space="preserve">supra </w:t>
      </w:r>
      <w:r w:rsidRPr="006748B6">
        <w:rPr>
          <w:rFonts w:cs="Times New Roman"/>
        </w:rPr>
        <w:t xml:space="preserve">note 35 ("[T]he practical obstacles to adopting fee-shifting provisions in bylaws suggest that many of these responses [in opposition to </w:t>
      </w:r>
      <w:r w:rsidRPr="006748B6">
        <w:rPr>
          <w:rFonts w:cs="Times New Roman"/>
          <w:i/>
        </w:rPr>
        <w:t>ATP Tour</w:t>
      </w:r>
      <w:r w:rsidRPr="006748B6">
        <w:rPr>
          <w:rFonts w:cs="Times New Roman"/>
        </w:rPr>
        <w:t>] may have been overreaction.").</w:t>
      </w:r>
    </w:p>
  </w:footnote>
  <w:footnote w:id="117">
    <w:p w14:paraId="515EEC99" w14:textId="0A74A554" w:rsidR="00060C5F" w:rsidRPr="006748B6" w:rsidRDefault="00060C5F" w:rsidP="002E612F">
      <w:pPr>
        <w:pStyle w:val="FootnoteText"/>
        <w:ind w:firstLine="720"/>
      </w:pPr>
      <w:r w:rsidRPr="006748B6">
        <w:rPr>
          <w:rStyle w:val="FootnoteReference"/>
        </w:rPr>
        <w:footnoteRef/>
      </w:r>
      <w:r w:rsidRPr="006748B6">
        <w:t xml:space="preserve">Citizens United v. Fed. Election Comm'n, 558 U.S. 310, 362 (U.S. 2010), </w:t>
      </w:r>
      <w:r w:rsidRPr="006748B6">
        <w:rPr>
          <w:i/>
        </w:rPr>
        <w:t>quoting</w:t>
      </w:r>
      <w:r w:rsidRPr="006748B6">
        <w:t xml:space="preserve"> First Nat'l Bank of Boston v. Bellotti, 435 U.S. 765, 794 (U.S. 1978).</w:t>
      </w:r>
    </w:p>
  </w:footnote>
  <w:footnote w:id="118">
    <w:p w14:paraId="1091130B" w14:textId="464EFCC6"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957.</w:t>
      </w:r>
    </w:p>
  </w:footnote>
  <w:footnote w:id="119">
    <w:p w14:paraId="6CCC52BD" w14:textId="4E0E6CD7"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("[B]ecause the DGCL gives stockholders an annual opportunity to elect directors, stockholders have a potent tool to discipline boards . . . .") (citations omitted).</w:t>
      </w:r>
    </w:p>
  </w:footnote>
  <w:footnote w:id="120">
    <w:p w14:paraId="2D987CB3" w14:textId="07BA61DB"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Hamermesh, </w:t>
      </w:r>
      <w:r w:rsidRPr="006748B6">
        <w:rPr>
          <w:i/>
        </w:rPr>
        <w:t>supra</w:t>
      </w:r>
      <w:r w:rsidRPr="006748B6">
        <w:t xml:space="preserve"> note 52, at 167.</w:t>
      </w:r>
    </w:p>
  </w:footnote>
  <w:footnote w:id="121">
    <w:p w14:paraId="3A7268FA" w14:textId="019ABD1C"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w:t>
      </w:r>
      <w:r w:rsidRPr="006748B6">
        <w:rPr>
          <w:rFonts w:cs="Times New Roman"/>
        </w:rPr>
        <w:t xml:space="preserve">Vergilii &amp; Mielcusny, </w:t>
      </w:r>
      <w:r w:rsidRPr="006748B6">
        <w:rPr>
          <w:rFonts w:cs="Times New Roman"/>
          <w:i/>
        </w:rPr>
        <w:t>supra</w:t>
      </w:r>
      <w:r w:rsidRPr="006748B6">
        <w:rPr>
          <w:rFonts w:cs="Times New Roman"/>
        </w:rPr>
        <w:t xml:space="preserve"> note 35 </w:t>
      </w:r>
      <w:r w:rsidRPr="006748B6">
        <w:t>("Institutional investors and advisors would likely not approve of such provisions and could make efforts to rid the company of the directors responsible for its adoption.").</w:t>
      </w:r>
    </w:p>
  </w:footnote>
  <w:footnote w:id="122">
    <w:p w14:paraId="288BE249" w14:textId="3223D5E9" w:rsidR="00060C5F" w:rsidRPr="006748B6" w:rsidRDefault="00060C5F" w:rsidP="002E612F">
      <w:pPr>
        <w:pStyle w:val="FootnoteText"/>
        <w:ind w:firstLine="720"/>
      </w:pPr>
      <w:r w:rsidRPr="006748B6">
        <w:rPr>
          <w:rStyle w:val="FootnoteReference"/>
        </w:rPr>
        <w:footnoteRef/>
      </w:r>
      <w:r w:rsidRPr="006748B6">
        <w:rPr>
          <w:i/>
        </w:rPr>
        <w:t xml:space="preserve">See </w:t>
      </w:r>
      <w:r w:rsidRPr="006748B6">
        <w:t xml:space="preserve">8 </w:t>
      </w:r>
      <w:r w:rsidRPr="006748B6">
        <w:rPr>
          <w:i/>
        </w:rPr>
        <w:t xml:space="preserve">Del. C. </w:t>
      </w:r>
      <w:r w:rsidRPr="006748B6">
        <w:t xml:space="preserve">§ 109(a) ("[T]he power to adopt, amend or repeal bylaws shall be in the stockholders entitled to vote.").  </w:t>
      </w:r>
      <w:r w:rsidRPr="006748B6">
        <w:rPr>
          <w:i/>
        </w:rPr>
        <w:t>See also</w:t>
      </w:r>
      <w:r w:rsidRPr="006748B6">
        <w:t xml:space="preserve"> </w:t>
      </w:r>
      <w:r w:rsidRPr="006748B6">
        <w:rPr>
          <w:i/>
        </w:rPr>
        <w:t>Boilermakers</w:t>
      </w:r>
      <w:r w:rsidRPr="006748B6">
        <w:t xml:space="preserve">, 73 A.3d at 956 ("[E]ven though a board may . . . be granted authority to adopt by-laws, stockholders can check that authority by repealing board-adopted bylaws."); Noked, </w:t>
      </w:r>
      <w:r w:rsidRPr="006748B6">
        <w:rPr>
          <w:i/>
        </w:rPr>
        <w:t>supra</w:t>
      </w:r>
      <w:r w:rsidRPr="006748B6">
        <w:t xml:space="preserve"> note 53.</w:t>
      </w:r>
    </w:p>
  </w:footnote>
  <w:footnote w:id="123">
    <w:p w14:paraId="2F59867F" w14:textId="074A738C"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956 (</w:t>
      </w:r>
      <w:r w:rsidRPr="006748B6">
        <w:rPr>
          <w:i/>
        </w:rPr>
        <w:t>quoting</w:t>
      </w:r>
      <w:r w:rsidRPr="006748B6">
        <w:t xml:space="preserve"> CA, Inc. v. AFSCME Emps. Pension Plan, 953 A.2d 227, 232 (Del. 2008)).</w:t>
      </w:r>
    </w:p>
  </w:footnote>
  <w:footnote w:id="124">
    <w:p w14:paraId="1D2A20AC" w14:textId="7C98D95C" w:rsidR="00060C5F" w:rsidRPr="006748B6" w:rsidRDefault="00060C5F" w:rsidP="002E612F">
      <w:pPr>
        <w:pStyle w:val="FootnoteText"/>
        <w:ind w:firstLine="720"/>
      </w:pPr>
      <w:r w:rsidRPr="006748B6">
        <w:rPr>
          <w:rStyle w:val="FootnoteReference"/>
        </w:rPr>
        <w:footnoteRef/>
      </w:r>
      <w:r w:rsidRPr="006748B6">
        <w:t xml:space="preserve">Hamermesh, </w:t>
      </w:r>
      <w:r w:rsidRPr="006748B6">
        <w:rPr>
          <w:i/>
        </w:rPr>
        <w:t>supra</w:t>
      </w:r>
      <w:r w:rsidRPr="006748B6">
        <w:t xml:space="preserve"> note 52, at 167.</w:t>
      </w:r>
    </w:p>
  </w:footnote>
  <w:footnote w:id="125">
    <w:p w14:paraId="7EA9C722" w14:textId="710E754B" w:rsidR="00060C5F" w:rsidRPr="006748B6" w:rsidRDefault="00060C5F" w:rsidP="002E612F">
      <w:pPr>
        <w:pStyle w:val="FootnoteText"/>
        <w:ind w:firstLine="720"/>
      </w:pPr>
      <w:r w:rsidRPr="006748B6">
        <w:rPr>
          <w:rStyle w:val="FootnoteReference"/>
        </w:rPr>
        <w:footnoteRef/>
      </w:r>
      <w:r w:rsidRPr="006748B6">
        <w:rPr>
          <w:i/>
        </w:rPr>
        <w:t>But see</w:t>
      </w:r>
      <w:r w:rsidRPr="006748B6">
        <w:t xml:space="preserve"> </w:t>
      </w:r>
      <w:r w:rsidRPr="006748B6">
        <w:rPr>
          <w:i/>
        </w:rPr>
        <w:t>id.</w:t>
      </w:r>
      <w:r w:rsidRPr="006748B6">
        <w:t xml:space="preserve"> at 168 (arguing for more extensive limitations on fee-shifting bylaws based on a theory that they fall under a category of "corporate actions that, while technically permissible and even properly motivated, so impair the rights of investors that we don't remit the shareholder to the corporate voting process for relief from such actions.").</w:t>
      </w:r>
    </w:p>
  </w:footnote>
  <w:footnote w:id="126">
    <w:p w14:paraId="2DF7C4C2" w14:textId="6208BCE3"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558 ("Bylaws that may otherwise be facially valid will not be enforced if adopted or used for an inequitable purpose.").</w:t>
      </w:r>
    </w:p>
  </w:footnote>
  <w:footnote w:id="127">
    <w:p w14:paraId="77A7F102" w14:textId="22451AAA" w:rsidR="00060C5F" w:rsidRPr="006748B6" w:rsidRDefault="00060C5F" w:rsidP="002E612F">
      <w:pPr>
        <w:pStyle w:val="FootnoteText"/>
        <w:ind w:firstLine="720"/>
      </w:pPr>
      <w:r w:rsidRPr="006748B6">
        <w:rPr>
          <w:rStyle w:val="FootnoteReference"/>
        </w:rPr>
        <w:footnoteRef/>
      </w:r>
      <w:r w:rsidRPr="006748B6">
        <w:rPr>
          <w:i/>
        </w:rPr>
        <w:t>See, e.g.</w:t>
      </w:r>
      <w:r w:rsidRPr="006748B6">
        <w:t xml:space="preserve">, </w:t>
      </w:r>
      <w:r w:rsidRPr="006748B6">
        <w:rPr>
          <w:i/>
        </w:rPr>
        <w:t>Hollinger</w:t>
      </w:r>
      <w:r w:rsidRPr="006748B6">
        <w:t>, 844 A.2d at 1078 ("The DGCL is intentionally designed to provide directors and stockholders with flexible authority, permitting great discretion for private ordering and adaptation. That capacious grant of power is policed in large part by the common law of equity, in the form of fiduciary duty principles. The judiciary deploys its equitable powers cautiously to avoid intruding on the legitimate scope of action the DGCL leaves to directors and officers acting in good faith. The business judgment rule embodies that commitment to proper judicial restraint. At the same time, Delaware's public policy interest in vindicating the legitimate expectations stockholders have of their corporate fiduciaries requires its courts to act when statutory flexibility is exploited for inequitable ends.").</w:t>
      </w:r>
    </w:p>
  </w:footnote>
  <w:footnote w:id="128">
    <w:p w14:paraId="0B389103" w14:textId="77777777" w:rsidR="00060C5F" w:rsidRPr="006748B6" w:rsidRDefault="00060C5F" w:rsidP="002E612F">
      <w:pPr>
        <w:pStyle w:val="FootnoteText"/>
        <w:ind w:firstLine="720"/>
      </w:pPr>
      <w:r w:rsidRPr="006748B6">
        <w:rPr>
          <w:rStyle w:val="FootnoteReference"/>
        </w:rPr>
        <w:footnoteRef/>
      </w:r>
      <w:r w:rsidRPr="006748B6">
        <w:t xml:space="preserve">Leo E. Strine, Jr., </w:t>
      </w:r>
      <w:r w:rsidRPr="006748B6">
        <w:rPr>
          <w:i/>
        </w:rPr>
        <w:t xml:space="preserve">If Corporate Action is Lawful, Presumably There Are Circumstances in Which it is Equitable to Take That Action: The Implicit Corollary to the Rule of </w:t>
      </w:r>
      <w:r w:rsidRPr="006748B6">
        <w:t xml:space="preserve">Schnell v. Chris-Craft, 60 </w:t>
      </w:r>
      <w:r w:rsidRPr="006748B6">
        <w:rPr>
          <w:smallCaps/>
        </w:rPr>
        <w:t>Bus. Law.</w:t>
      </w:r>
      <w:r w:rsidRPr="006748B6">
        <w:t xml:space="preserve"> 877, 880 (2005).</w:t>
      </w:r>
    </w:p>
  </w:footnote>
  <w:footnote w:id="129">
    <w:p w14:paraId="4EB6D6C1" w14:textId="27F9C33B"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879.</w:t>
      </w:r>
    </w:p>
  </w:footnote>
  <w:footnote w:id="130">
    <w:p w14:paraId="236419F4" w14:textId="1F27DB93" w:rsidR="00060C5F" w:rsidRPr="006748B6" w:rsidRDefault="00060C5F" w:rsidP="002E612F">
      <w:pPr>
        <w:pStyle w:val="FootnoteText"/>
        <w:ind w:firstLine="720"/>
      </w:pPr>
      <w:r w:rsidRPr="006748B6">
        <w:rPr>
          <w:rStyle w:val="FootnoteReference"/>
        </w:rPr>
        <w:footnoteRef/>
      </w:r>
      <w:r w:rsidRPr="006748B6">
        <w:rPr>
          <w:i/>
        </w:rPr>
        <w:t>See id.</w:t>
      </w:r>
      <w:r w:rsidRPr="006748B6">
        <w:t xml:space="preserve"> at 880 ("[S]imply because an action is statutorily or contractually lawful, does not mean that it is equitable.").</w:t>
      </w:r>
    </w:p>
  </w:footnote>
  <w:footnote w:id="131">
    <w:p w14:paraId="52447B35" w14:textId="64B69604" w:rsidR="00060C5F" w:rsidRPr="006748B6" w:rsidRDefault="00060C5F" w:rsidP="002E612F">
      <w:pPr>
        <w:pStyle w:val="FootnoteText"/>
        <w:ind w:firstLine="720"/>
      </w:pPr>
      <w:r w:rsidRPr="006748B6">
        <w:rPr>
          <w:rStyle w:val="FootnoteReference"/>
        </w:rPr>
        <w:footnoteRef/>
      </w:r>
      <w:r w:rsidRPr="006748B6">
        <w:rPr>
          <w:i/>
        </w:rPr>
        <w:t>See id</w:t>
      </w:r>
      <w:r w:rsidRPr="006748B6">
        <w:t xml:space="preserve">.  Presumably the answer to the legal question would be yes as to fee-shifting bylaws, unless the corporate charter prohibits them.  </w:t>
      </w:r>
      <w:r w:rsidRPr="006748B6">
        <w:rPr>
          <w:i/>
        </w:rPr>
        <w:t>See ATP Tour</w:t>
      </w:r>
      <w:r w:rsidRPr="006748B6">
        <w:t>, 91 A.3d at 560.</w:t>
      </w:r>
    </w:p>
  </w:footnote>
  <w:footnote w:id="132">
    <w:p w14:paraId="28378ABB" w14:textId="32506B48" w:rsidR="00060C5F" w:rsidRPr="006748B6" w:rsidRDefault="00060C5F" w:rsidP="002E612F">
      <w:pPr>
        <w:pStyle w:val="FootnoteText"/>
        <w:ind w:firstLine="720"/>
      </w:pPr>
      <w:r w:rsidRPr="006748B6">
        <w:rPr>
          <w:rStyle w:val="FootnoteReference"/>
        </w:rPr>
        <w:footnoteRef/>
      </w:r>
      <w:r w:rsidRPr="006748B6">
        <w:t xml:space="preserve">Strine, </w:t>
      </w:r>
      <w:r w:rsidRPr="006748B6">
        <w:rPr>
          <w:i/>
        </w:rPr>
        <w:t>supra</w:t>
      </w:r>
      <w:r w:rsidRPr="006748B6">
        <w:t xml:space="preserve"> note 128, at n.21.</w:t>
      </w:r>
    </w:p>
  </w:footnote>
  <w:footnote w:id="133">
    <w:p w14:paraId="75D1DFAD" w14:textId="2730DC92"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w:t>
      </w:r>
      <w:r w:rsidRPr="006748B6">
        <w:rPr>
          <w:i/>
        </w:rPr>
        <w:t xml:space="preserve">id. </w:t>
      </w:r>
      <w:r w:rsidRPr="006748B6">
        <w:t>at 883 (noting that Delaware courts disfavor creation of "per se rules in equity" because creating such rules would "undermine the genius of the Delaware way, by narrowing the wide freedom of action our statute affords to directors").</w:t>
      </w:r>
    </w:p>
  </w:footnote>
  <w:footnote w:id="134">
    <w:p w14:paraId="4F2844CE" w14:textId="17D97C3F" w:rsidR="00060C5F" w:rsidRPr="006748B6" w:rsidRDefault="00060C5F" w:rsidP="002E612F">
      <w:pPr>
        <w:pStyle w:val="FootnoteText"/>
        <w:ind w:firstLine="720"/>
      </w:pPr>
      <w:r w:rsidRPr="006748B6">
        <w:rPr>
          <w:rStyle w:val="FootnoteReference"/>
        </w:rPr>
        <w:footnoteRef/>
      </w:r>
      <w:r w:rsidRPr="006748B6">
        <w:rPr>
          <w:i/>
        </w:rPr>
        <w:t>Cf.</w:t>
      </w:r>
      <w:r w:rsidRPr="006748B6">
        <w:t xml:space="preserve"> </w:t>
      </w:r>
      <w:r w:rsidRPr="006748B6">
        <w:rPr>
          <w:i/>
        </w:rPr>
        <w:t>Boilermakers</w:t>
      </w:r>
      <w:r w:rsidRPr="006748B6">
        <w:t xml:space="preserve">, 73 A.3d at 954 (noting that a board seeking enforcement of a forum selection bylaw "must </w:t>
      </w:r>
      <w:r w:rsidRPr="006748B6">
        <w:rPr>
          <w:i/>
        </w:rPr>
        <w:t>voluntarily</w:t>
      </w:r>
      <w:r w:rsidRPr="006748B6">
        <w:t xml:space="preserve"> submit the forum selection clause to the scrutiny of the courts if a plaintiff does not comply with it") (emphasis in original).</w:t>
      </w:r>
    </w:p>
  </w:footnote>
  <w:footnote w:id="135">
    <w:p w14:paraId="119FA2B0" w14:textId="638883A0" w:rsidR="00060C5F" w:rsidRPr="006748B6" w:rsidRDefault="00060C5F" w:rsidP="002E612F">
      <w:pPr>
        <w:pStyle w:val="FootnoteText"/>
        <w:ind w:firstLine="720"/>
      </w:pPr>
      <w:r w:rsidRPr="006748B6">
        <w:rPr>
          <w:rStyle w:val="FootnoteReference"/>
        </w:rPr>
        <w:footnoteRef/>
      </w:r>
      <w:r w:rsidRPr="006748B6">
        <w:rPr>
          <w:i/>
        </w:rPr>
        <w:t>Hollinger</w:t>
      </w:r>
      <w:r w:rsidRPr="006748B6">
        <w:t>, 844 A.2d at 1078 ("Delaware's public policy interest in vindicating the legitimate expectations stockholders have of their corporate fiduciaries requires its courts to act when statutory flexibility is exploited for inequitable ends.").</w:t>
      </w:r>
    </w:p>
  </w:footnote>
  <w:footnote w:id="136">
    <w:p w14:paraId="6B2A8A9B" w14:textId="0EC4838E"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558-59.</w:t>
      </w:r>
    </w:p>
  </w:footnote>
  <w:footnote w:id="137">
    <w:p w14:paraId="3BFF2370" w14:textId="2DE6E8E6"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558.</w:t>
      </w:r>
    </w:p>
  </w:footnote>
  <w:footnote w:id="138">
    <w:p w14:paraId="476B3CB3" w14:textId="185A5DBE"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558-59.</w:t>
      </w:r>
    </w:p>
  </w:footnote>
  <w:footnote w:id="139">
    <w:p w14:paraId="0DF87FCE" w14:textId="738BD1B0"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559 (</w:t>
      </w:r>
      <w:r w:rsidRPr="006748B6">
        <w:rPr>
          <w:i/>
        </w:rPr>
        <w:t>quoting</w:t>
      </w:r>
      <w:r w:rsidRPr="006748B6">
        <w:t xml:space="preserve"> </w:t>
      </w:r>
      <w:r w:rsidRPr="006748B6">
        <w:rPr>
          <w:i/>
        </w:rPr>
        <w:t>Hollinger</w:t>
      </w:r>
      <w:r w:rsidRPr="006748B6">
        <w:t>, 844 A.2d at 1080).</w:t>
      </w:r>
    </w:p>
  </w:footnote>
  <w:footnote w:id="140">
    <w:p w14:paraId="2F40A14F" w14:textId="6C40AA46" w:rsidR="00060C5F" w:rsidRPr="006748B6" w:rsidRDefault="00060C5F" w:rsidP="002E612F">
      <w:pPr>
        <w:pStyle w:val="FootnoteText"/>
        <w:ind w:firstLine="720"/>
      </w:pPr>
      <w:r w:rsidRPr="006748B6">
        <w:rPr>
          <w:rStyle w:val="FootnoteReference"/>
        </w:rPr>
        <w:footnoteRef/>
      </w:r>
      <w:r w:rsidRPr="006748B6">
        <w:rPr>
          <w:i/>
        </w:rPr>
        <w:t>Hollinger</w:t>
      </w:r>
      <w:r w:rsidRPr="006748B6">
        <w:t>, 844 A.2d at 1081.</w:t>
      </w:r>
    </w:p>
  </w:footnote>
  <w:footnote w:id="141">
    <w:p w14:paraId="3246DAA6" w14:textId="0AC96164"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558 (</w:t>
      </w:r>
      <w:r w:rsidRPr="006748B6">
        <w:rPr>
          <w:i/>
        </w:rPr>
        <w:t>quoting</w:t>
      </w:r>
      <w:r w:rsidRPr="006748B6">
        <w:t xml:space="preserve"> Schnell v. Chris-Craft Industries, Inc., 285 A.2d 437, 439 (Del. 1971)).</w:t>
      </w:r>
    </w:p>
  </w:footnote>
  <w:footnote w:id="142">
    <w:p w14:paraId="6BF20312" w14:textId="36F3A842" w:rsidR="00060C5F" w:rsidRPr="006748B6" w:rsidRDefault="00060C5F" w:rsidP="002E612F">
      <w:pPr>
        <w:pStyle w:val="FootnoteText"/>
        <w:ind w:firstLine="720"/>
      </w:pPr>
      <w:r w:rsidRPr="006748B6">
        <w:rPr>
          <w:rStyle w:val="FootnoteReference"/>
        </w:rPr>
        <w:footnoteRef/>
      </w:r>
      <w:r w:rsidRPr="006748B6">
        <w:rPr>
          <w:i/>
        </w:rPr>
        <w:t>Schnell</w:t>
      </w:r>
      <w:r w:rsidRPr="006748B6">
        <w:t>, 285 A.2d at 439.</w:t>
      </w:r>
    </w:p>
  </w:footnote>
  <w:footnote w:id="143">
    <w:p w14:paraId="0EEE84B0" w14:textId="68BDC459" w:rsidR="00060C5F" w:rsidRPr="006748B6" w:rsidRDefault="00060C5F" w:rsidP="002E612F">
      <w:pPr>
        <w:pStyle w:val="FootnoteText"/>
        <w:ind w:firstLine="720"/>
      </w:pPr>
      <w:r w:rsidRPr="006748B6">
        <w:rPr>
          <w:rStyle w:val="FootnoteReference"/>
        </w:rPr>
        <w:footnoteRef/>
      </w:r>
      <w:r w:rsidRPr="006748B6">
        <w:t>Frantz Mfg. Co. v. EAC Indus., 501 A.2d 401, 407 (Del. 1985).</w:t>
      </w:r>
    </w:p>
  </w:footnote>
  <w:footnote w:id="144">
    <w:p w14:paraId="69F838BC" w14:textId="350A6D8A"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at 409.</w:t>
      </w:r>
    </w:p>
  </w:footnote>
  <w:footnote w:id="145">
    <w:p w14:paraId="50EDB567" w14:textId="4DE63AE3"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559 (</w:t>
      </w:r>
      <w:r w:rsidRPr="006748B6">
        <w:rPr>
          <w:i/>
        </w:rPr>
        <w:t>quoting</w:t>
      </w:r>
      <w:r w:rsidRPr="006748B6">
        <w:t xml:space="preserve"> </w:t>
      </w:r>
      <w:r w:rsidRPr="006748B6">
        <w:rPr>
          <w:i/>
        </w:rPr>
        <w:t>Frantz</w:t>
      </w:r>
      <w:r w:rsidRPr="006748B6">
        <w:t>, 501 A.2d at 409).</w:t>
      </w:r>
    </w:p>
  </w:footnote>
  <w:footnote w:id="146">
    <w:p w14:paraId="3170EE51" w14:textId="66ADFC03" w:rsidR="00060C5F" w:rsidRPr="006748B6" w:rsidRDefault="00060C5F" w:rsidP="002E612F">
      <w:pPr>
        <w:pStyle w:val="FootnoteText"/>
        <w:ind w:firstLine="720"/>
      </w:pPr>
      <w:r w:rsidRPr="006748B6">
        <w:rPr>
          <w:rStyle w:val="FootnoteReference"/>
        </w:rPr>
        <w:footnoteRef/>
      </w:r>
      <w:r w:rsidRPr="006748B6">
        <w:rPr>
          <w:i/>
        </w:rPr>
        <w:t>E.g.</w:t>
      </w:r>
      <w:r w:rsidRPr="006748B6">
        <w:t xml:space="preserve">, </w:t>
      </w:r>
      <w:r w:rsidRPr="006748B6">
        <w:rPr>
          <w:i/>
        </w:rPr>
        <w:t>Frantz</w:t>
      </w:r>
      <w:r w:rsidRPr="006748B6">
        <w:t xml:space="preserve">, 501 A.2d at 407. </w:t>
      </w:r>
    </w:p>
  </w:footnote>
  <w:footnote w:id="147">
    <w:p w14:paraId="4E87B815" w14:textId="0072176D" w:rsidR="00060C5F" w:rsidRPr="006748B6" w:rsidRDefault="00060C5F" w:rsidP="002E612F">
      <w:pPr>
        <w:pStyle w:val="FootnoteText"/>
        <w:ind w:firstLine="720"/>
      </w:pPr>
      <w:r w:rsidRPr="006748B6">
        <w:rPr>
          <w:rStyle w:val="FootnoteReference"/>
        </w:rPr>
        <w:footnoteRef/>
      </w:r>
      <w:r w:rsidRPr="006748B6">
        <w:rPr>
          <w:i/>
        </w:rPr>
        <w:t>Id</w:t>
      </w:r>
      <w:r w:rsidRPr="006748B6">
        <w:t xml:space="preserve">. </w:t>
      </w:r>
    </w:p>
  </w:footnote>
  <w:footnote w:id="148">
    <w:p w14:paraId="0381A97C" w14:textId="5080FA6C" w:rsidR="00060C5F" w:rsidRPr="006748B6" w:rsidRDefault="00060C5F" w:rsidP="002E612F">
      <w:pPr>
        <w:pStyle w:val="FootnoteText"/>
        <w:ind w:firstLine="720"/>
      </w:pPr>
      <w:r w:rsidRPr="006748B6">
        <w:rPr>
          <w:rStyle w:val="FootnoteReference"/>
        </w:rPr>
        <w:footnoteRef/>
      </w:r>
      <w:r w:rsidRPr="006748B6">
        <w:rPr>
          <w:i/>
        </w:rPr>
        <w:t>Id</w:t>
      </w:r>
      <w:r w:rsidRPr="006748B6">
        <w:t>.</w:t>
      </w:r>
    </w:p>
  </w:footnote>
  <w:footnote w:id="149">
    <w:p w14:paraId="76EABF81" w14:textId="4EA5709B"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948 (</w:t>
      </w:r>
      <w:r w:rsidRPr="006748B6">
        <w:rPr>
          <w:i/>
        </w:rPr>
        <w:t>citing</w:t>
      </w:r>
      <w:r w:rsidRPr="006748B6">
        <w:t xml:space="preserve"> </w:t>
      </w:r>
      <w:r w:rsidRPr="006748B6">
        <w:rPr>
          <w:i/>
        </w:rPr>
        <w:t>Frantz</w:t>
      </w:r>
      <w:r w:rsidRPr="006748B6">
        <w:t>, 501 A.2d at 407) (emphasis in original).</w:t>
      </w:r>
    </w:p>
  </w:footnote>
  <w:footnote w:id="150">
    <w:p w14:paraId="415544E3" w14:textId="3CC334BC" w:rsidR="00060C5F" w:rsidRPr="006748B6" w:rsidRDefault="00060C5F" w:rsidP="002E612F">
      <w:pPr>
        <w:pStyle w:val="FootnoteText"/>
        <w:ind w:firstLine="720"/>
      </w:pPr>
      <w:r w:rsidRPr="006748B6">
        <w:rPr>
          <w:rStyle w:val="FootnoteReference"/>
        </w:rPr>
        <w:footnoteRef/>
      </w:r>
      <w:r w:rsidRPr="006748B6">
        <w:rPr>
          <w:i/>
        </w:rPr>
        <w:t>Boilermakers</w:t>
      </w:r>
      <w:r w:rsidRPr="006748B6">
        <w:t>, 73 A.3d at 940.</w:t>
      </w:r>
    </w:p>
  </w:footnote>
  <w:footnote w:id="151">
    <w:p w14:paraId="0A0663EA" w14:textId="77777777" w:rsidR="00060C5F" w:rsidRPr="006748B6" w:rsidRDefault="00060C5F" w:rsidP="002E612F">
      <w:pPr>
        <w:pStyle w:val="FootnoteText"/>
        <w:ind w:firstLine="720"/>
      </w:pPr>
      <w:r w:rsidRPr="006748B6">
        <w:rPr>
          <w:rStyle w:val="FootnoteReference"/>
        </w:rPr>
        <w:footnoteRef/>
      </w:r>
      <w:r w:rsidRPr="006748B6">
        <w:t>Stroud v. Grace, 606 A.2d 75, 95 (Del. 1992).</w:t>
      </w:r>
    </w:p>
  </w:footnote>
  <w:footnote w:id="152">
    <w:p w14:paraId="3233BD5C" w14:textId="54F81FD4" w:rsidR="00060C5F" w:rsidRPr="006748B6" w:rsidRDefault="00060C5F" w:rsidP="002E612F">
      <w:pPr>
        <w:pStyle w:val="FootnoteText"/>
        <w:ind w:firstLine="720"/>
      </w:pPr>
      <w:r w:rsidRPr="006748B6">
        <w:rPr>
          <w:rStyle w:val="FootnoteReference"/>
        </w:rPr>
        <w:footnoteRef/>
      </w:r>
      <w:r w:rsidRPr="006748B6">
        <w:rPr>
          <w:i/>
        </w:rPr>
        <w:t xml:space="preserve">Id. </w:t>
      </w:r>
      <w:r w:rsidRPr="006748B6">
        <w:t>at 96.</w:t>
      </w:r>
    </w:p>
  </w:footnote>
  <w:footnote w:id="153">
    <w:p w14:paraId="6B219575" w14:textId="2F327C11" w:rsidR="00060C5F" w:rsidRPr="006748B6" w:rsidRDefault="00060C5F" w:rsidP="002E612F">
      <w:pPr>
        <w:pStyle w:val="FootnoteText"/>
        <w:ind w:firstLine="720"/>
      </w:pPr>
      <w:r w:rsidRPr="006748B6">
        <w:rPr>
          <w:rStyle w:val="FootnoteReference"/>
        </w:rPr>
        <w:footnoteRef/>
      </w:r>
      <w:r w:rsidRPr="006748B6">
        <w:rPr>
          <w:i/>
        </w:rPr>
        <w:t>See Boilermakers</w:t>
      </w:r>
      <w:r w:rsidRPr="006748B6">
        <w:t xml:space="preserve">, 73 A.3d at 949, n.62 (explaining that there is a "judicial reticence to chill corporate freedom by condemning as invalid a bylaw that is consistent with the board's statutory and contractual authority, simply because it might be possible to imagine situations when the bylaw might operate unreasonably. . . .  [S]uch as-applied challenges are to be raised later, when real-world circumstances give rise to a genuine, concrete dispute requiring judicial resolution.").  </w:t>
      </w:r>
      <w:r w:rsidRPr="006748B6">
        <w:rPr>
          <w:i/>
        </w:rPr>
        <w:t>See also</w:t>
      </w:r>
      <w:r w:rsidRPr="006748B6">
        <w:t xml:space="preserve"> </w:t>
      </w:r>
      <w:r w:rsidRPr="006748B6">
        <w:rPr>
          <w:i/>
        </w:rPr>
        <w:t>id.</w:t>
      </w:r>
      <w:r w:rsidRPr="006748B6">
        <w:t xml:space="preserve"> at 954 (suggesting that a "real-world application of a forum selection bylaw can be challenged as an inequitable breach of fiduciary duty").</w:t>
      </w:r>
    </w:p>
  </w:footnote>
  <w:footnote w:id="154">
    <w:p w14:paraId="6F61579B" w14:textId="313235F4" w:rsidR="00060C5F" w:rsidRPr="006748B6" w:rsidRDefault="00060C5F" w:rsidP="002E612F">
      <w:pPr>
        <w:pStyle w:val="FootnoteText"/>
        <w:ind w:firstLine="720"/>
      </w:pPr>
      <w:r w:rsidRPr="006748B6">
        <w:rPr>
          <w:rStyle w:val="FootnoteReference"/>
        </w:rPr>
        <w:footnoteRef/>
      </w:r>
      <w:r w:rsidRPr="006748B6">
        <w:rPr>
          <w:i/>
        </w:rPr>
        <w:t>ATP Tour</w:t>
      </w:r>
      <w:r w:rsidRPr="006748B6">
        <w:t>, 91 A.3d at 560.</w:t>
      </w:r>
    </w:p>
  </w:footnote>
  <w:footnote w:id="155">
    <w:p w14:paraId="5C0F0AAE" w14:textId="282CF8AF" w:rsidR="00060C5F" w:rsidRPr="006748B6" w:rsidRDefault="00060C5F" w:rsidP="002E612F">
      <w:pPr>
        <w:pStyle w:val="FootnoteText"/>
        <w:ind w:firstLine="720"/>
      </w:pPr>
      <w:r w:rsidRPr="006748B6">
        <w:rPr>
          <w:rStyle w:val="FootnoteReference"/>
        </w:rPr>
        <w:footnoteRef/>
      </w:r>
      <w:r w:rsidRPr="006748B6">
        <w:t xml:space="preserve">Although a shareholder could theoretically show that the bylaw "could not operate . . . equitably under any circumstances," </w:t>
      </w:r>
      <w:r w:rsidRPr="006748B6">
        <w:rPr>
          <w:i/>
        </w:rPr>
        <w:t>see</w:t>
      </w:r>
      <w:r w:rsidRPr="006748B6">
        <w:t xml:space="preserve"> </w:t>
      </w:r>
      <w:r w:rsidRPr="006748B6">
        <w:rPr>
          <w:i/>
        </w:rPr>
        <w:t xml:space="preserve">supra </w:t>
      </w:r>
      <w:r w:rsidRPr="006748B6">
        <w:t xml:space="preserve">note 149, it is difficult to see how a plaintiff could meet this standard while being prohibited from hypothesizing over potential applications of the bylaw.  Accordingly, an as applied challenge is the only viable alternative. </w:t>
      </w:r>
    </w:p>
  </w:footnote>
  <w:footnote w:id="156">
    <w:p w14:paraId="2FB4DD09" w14:textId="286BCE1C"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notes 41-5</w:t>
      </w:r>
      <w:r>
        <w:t>1</w:t>
      </w:r>
      <w:r w:rsidRPr="006748B6">
        <w:t xml:space="preserve"> and accompanying text.</w:t>
      </w:r>
    </w:p>
  </w:footnote>
  <w:footnote w:id="157">
    <w:p w14:paraId="2C822B28" w14:textId="0C578E32" w:rsidR="00060C5F" w:rsidRPr="006748B6" w:rsidRDefault="00060C5F" w:rsidP="002E612F">
      <w:pPr>
        <w:pStyle w:val="FootnoteText"/>
        <w:ind w:firstLine="720"/>
      </w:pPr>
      <w:r w:rsidRPr="006748B6">
        <w:rPr>
          <w:rStyle w:val="FootnoteReference"/>
        </w:rPr>
        <w:footnoteRef/>
      </w:r>
      <w:r w:rsidRPr="006748B6">
        <w:t>In the Hemispherx litigation, the plaintiffs articulated a plaintiff's dilemma over when a claim disputing the fee-shifting provision will be ripe: "In this case, Hemispherx is contending that Plaintiffs can only challenge the Bylaw by litigating the entire case and assuming liability for a six or seven figure amount of fees and expenses.  Of course, even a small risk of such a devastating liability makes it financially irrational for Plaintiffs to proceed, so the reality is the Bylaw can never be challenged if the Court decides such a challenge can only come after the underlying case has been decided.  Moreover, given the Bylaw’s requirement that Plaintiffs can only avoid liability by essentially achieving complete success on all claims, the risk of liability is extremely high."  Kastis v. Carter, Plaintiffs’ Reply Brief in Response to Hemispherx Biopharma, Inc.’s Response to Plaintiffs’ Motion to Invalidate Retroactive Fee-Shifting and Surety Bylaw Or, in the Alternative, to Dismiss and Withdraw Counsel, No. 8657 (Del. Ch. Aug. 13, 2014).</w:t>
      </w:r>
    </w:p>
  </w:footnote>
  <w:footnote w:id="158">
    <w:p w14:paraId="3E9F1973" w14:textId="08EBD1BE" w:rsidR="00060C5F" w:rsidRPr="006748B6" w:rsidRDefault="00060C5F" w:rsidP="002E612F">
      <w:pPr>
        <w:pStyle w:val="FootnoteText"/>
        <w:ind w:firstLine="720"/>
      </w:pPr>
      <w:r w:rsidRPr="006748B6">
        <w:rPr>
          <w:rStyle w:val="FootnoteReference"/>
        </w:rPr>
        <w:footnoteRef/>
      </w:r>
      <w:r w:rsidRPr="006748B6">
        <w:rPr>
          <w:i/>
        </w:rPr>
        <w:t>See id</w:t>
      </w:r>
      <w:r w:rsidRPr="006748B6">
        <w:t>.</w:t>
      </w:r>
    </w:p>
  </w:footnote>
  <w:footnote w:id="159">
    <w:p w14:paraId="41FE2045" w14:textId="2D3FC1A1"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Hamermesh, </w:t>
      </w:r>
      <w:r w:rsidRPr="006748B6">
        <w:rPr>
          <w:i/>
        </w:rPr>
        <w:t xml:space="preserve">supra </w:t>
      </w:r>
      <w:r w:rsidRPr="006748B6">
        <w:t>note 52, at 171 ("[E]ven if there were some evidence that [a fee-shifting bylaw's] adoption was improperly motivated, a lawsuit challenging it would likely be too risky for any stockholder to undertake because anything less than total success in that litigation would result in the stockholder having to pay the corporation's costs of defense.").</w:t>
      </w:r>
    </w:p>
  </w:footnote>
  <w:footnote w:id="160">
    <w:p w14:paraId="0563E74E" w14:textId="13713452" w:rsidR="00060C5F" w:rsidRPr="006748B6" w:rsidRDefault="00060C5F" w:rsidP="002E612F">
      <w:pPr>
        <w:pStyle w:val="FootnoteText"/>
        <w:ind w:firstLine="720"/>
      </w:pPr>
      <w:r w:rsidRPr="006748B6">
        <w:rPr>
          <w:rStyle w:val="FootnoteReference"/>
        </w:rPr>
        <w:footnoteRef/>
      </w:r>
      <w:r w:rsidRPr="006748B6">
        <w:t>Kastis v. Carter, Plaintiffs' Motion to Invalidate Retroactive Fee-Shifting and Surety Bylaw or, in the Alternative, to Dismiss and Withdraw Counsel, No. 8657 (Del. Ch. Jul. 21, 2014) ("The plain terms of the Bylaw and the Company’s July 18, 2014 letter demonstrate an intent to force Plaintiffs and their counsel to discontinue this litigation by threatening financial liability under the Bylaw. The Bylaw has had its intended effect. Plaintiffs and their counsel have concluded that, if the Bylaw is valid and enforceable, it would be economically irrational to continue this litigation.").</w:t>
      </w:r>
    </w:p>
  </w:footnote>
  <w:footnote w:id="161">
    <w:p w14:paraId="0CA4BFD9" w14:textId="61F68080"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Part III.A.</w:t>
      </w:r>
    </w:p>
  </w:footnote>
  <w:footnote w:id="162">
    <w:p w14:paraId="1264EEF3" w14:textId="48ACAC14" w:rsidR="00060C5F" w:rsidRPr="006748B6" w:rsidRDefault="00060C5F" w:rsidP="002E612F">
      <w:pPr>
        <w:pStyle w:val="FootnoteText"/>
        <w:ind w:firstLine="720"/>
      </w:pPr>
      <w:r w:rsidRPr="006748B6">
        <w:rPr>
          <w:rStyle w:val="FootnoteReference"/>
        </w:rPr>
        <w:footnoteRef/>
      </w:r>
      <w:r w:rsidRPr="006748B6">
        <w:rPr>
          <w:i/>
        </w:rPr>
        <w:t>See supra</w:t>
      </w:r>
      <w:r w:rsidRPr="006748B6">
        <w:t xml:space="preserve"> Part III.B.</w:t>
      </w:r>
    </w:p>
  </w:footnote>
  <w:footnote w:id="163">
    <w:p w14:paraId="1EAB1219" w14:textId="2760F496" w:rsidR="00060C5F" w:rsidRPr="006748B6" w:rsidRDefault="00060C5F" w:rsidP="002E612F">
      <w:pPr>
        <w:pStyle w:val="FootnoteText"/>
        <w:ind w:firstLine="720"/>
      </w:pPr>
      <w:r w:rsidRPr="006748B6">
        <w:rPr>
          <w:rStyle w:val="FootnoteReference"/>
        </w:rPr>
        <w:footnoteRef/>
      </w:r>
      <w:r w:rsidRPr="006748B6">
        <w:t xml:space="preserve">This mechanism for balancing director and corporation protection with shareholder interests would be similar to that employed in the waiver of directors' duty of care that corporations may adopt pursuant to 8 </w:t>
      </w:r>
      <w:r w:rsidRPr="006748B6">
        <w:rPr>
          <w:i/>
        </w:rPr>
        <w:t>Del. C.</w:t>
      </w:r>
      <w:r w:rsidRPr="006748B6">
        <w:t xml:space="preserve"> § 102(b)(7).</w:t>
      </w:r>
    </w:p>
  </w:footnote>
  <w:footnote w:id="164">
    <w:p w14:paraId="219B7CD9" w14:textId="4A2CE4FC" w:rsidR="00060C5F" w:rsidRPr="006748B6" w:rsidRDefault="00060C5F" w:rsidP="002E612F">
      <w:pPr>
        <w:pStyle w:val="FootnoteText"/>
        <w:ind w:firstLine="720"/>
      </w:pPr>
      <w:r w:rsidRPr="006748B6">
        <w:rPr>
          <w:rStyle w:val="FootnoteReference"/>
        </w:rPr>
        <w:footnoteRef/>
      </w:r>
      <w:r w:rsidRPr="006748B6">
        <w:rPr>
          <w:i/>
        </w:rPr>
        <w:t xml:space="preserve">See </w:t>
      </w:r>
      <w:r w:rsidRPr="006748B6">
        <w:t xml:space="preserve">8 </w:t>
      </w:r>
      <w:r w:rsidRPr="006748B6">
        <w:rPr>
          <w:i/>
        </w:rPr>
        <w:t>Del. C.</w:t>
      </w:r>
      <w:r w:rsidRPr="006748B6">
        <w:t xml:space="preserve"> § 242(b)(1).</w:t>
      </w:r>
    </w:p>
  </w:footnote>
  <w:footnote w:id="165">
    <w:p w14:paraId="1A671D64" w14:textId="7198741F" w:rsidR="00060C5F" w:rsidRPr="006748B6" w:rsidRDefault="00060C5F" w:rsidP="002E612F">
      <w:pPr>
        <w:pStyle w:val="FootnoteText"/>
        <w:ind w:firstLine="720"/>
      </w:pPr>
      <w:r w:rsidRPr="006748B6">
        <w:rPr>
          <w:rStyle w:val="FootnoteReference"/>
        </w:rPr>
        <w:footnoteRef/>
      </w:r>
      <w:r w:rsidRPr="006748B6">
        <w:t xml:space="preserve">As the Court explained in </w:t>
      </w:r>
      <w:r w:rsidRPr="006748B6">
        <w:rPr>
          <w:i/>
        </w:rPr>
        <w:t>Boilermakers</w:t>
      </w:r>
      <w:r w:rsidRPr="006748B6">
        <w:t xml:space="preserve">, "[a]lthough the plaintiffs' argument suggests that a forum selection provision accomplished by a certificate amendment would be more legitimate in some normative sense because stockholders approved the amendment, the plaintiffs ignore that a certificate provision is harder for stockholders to reverse.  </w:t>
      </w:r>
      <w:r w:rsidRPr="006748B6">
        <w:rPr>
          <w:i/>
        </w:rPr>
        <w:t>See</w:t>
      </w:r>
      <w:r w:rsidRPr="006748B6">
        <w:t xml:space="preserve"> 8 Del. C. § 242(b)(1) (requiring a board resolution and stockholder vote for a proper amendment to the corporation's certificate of incorporation).  By contrast, in the case of a board-adopted forum selection bylaw, the stockholders can act unilaterally to amend or repeal the provision.  </w:t>
      </w:r>
      <w:r w:rsidRPr="006748B6">
        <w:rPr>
          <w:i/>
        </w:rPr>
        <w:t>Id.</w:t>
      </w:r>
      <w:r w:rsidRPr="006748B6">
        <w:t xml:space="preserve"> § 109(a) ('After a corporation other than a nonstock corporation has received any payment for any of its stock, the power to adopt, amend or repeal bylaws shall be in the stockholders entitled to vote.').  For present purposes, however, the issue is not whether someone might deem it more legitimate in some sense to proceed by an amendment to the certificate of incorporation rather than by a bylaw.  That decision was for the Chevron and FedEx boards in the first instance, and the stockholders have multiple tools to hold the boards accountable if the stockholders disagree with it." </w:t>
      </w:r>
      <w:r w:rsidRPr="006748B6">
        <w:rPr>
          <w:i/>
        </w:rPr>
        <w:t>Boilermakers</w:t>
      </w:r>
      <w:r w:rsidRPr="006748B6">
        <w:t>, 73 A.3d at 955, n.93.</w:t>
      </w:r>
    </w:p>
  </w:footnote>
  <w:footnote w:id="166">
    <w:p w14:paraId="356EF8FA" w14:textId="2A79633E" w:rsidR="00060C5F" w:rsidRPr="006748B6" w:rsidRDefault="00060C5F" w:rsidP="002E612F">
      <w:pPr>
        <w:pStyle w:val="FootnoteText"/>
        <w:ind w:firstLine="720"/>
      </w:pPr>
      <w:r w:rsidRPr="006748B6">
        <w:rPr>
          <w:rStyle w:val="FootnoteReference"/>
        </w:rPr>
        <w:footnoteRef/>
      </w:r>
      <w:r w:rsidRPr="006748B6">
        <w:rPr>
          <w:i/>
        </w:rPr>
        <w:t xml:space="preserve">See </w:t>
      </w:r>
      <w:r w:rsidRPr="006748B6">
        <w:t>Frankel,</w:t>
      </w:r>
      <w:r w:rsidRPr="006748B6">
        <w:rPr>
          <w:i/>
        </w:rPr>
        <w:t xml:space="preserve"> supra</w:t>
      </w:r>
      <w:r w:rsidRPr="006748B6">
        <w:t xml:space="preserve"> note 40.  </w:t>
      </w:r>
    </w:p>
  </w:footnote>
  <w:footnote w:id="167">
    <w:p w14:paraId="007ED6EB" w14:textId="77777777" w:rsidR="00060C5F" w:rsidRPr="006748B6" w:rsidRDefault="00060C5F" w:rsidP="002E612F">
      <w:pPr>
        <w:pStyle w:val="FootnoteText"/>
        <w:ind w:firstLine="720"/>
      </w:pPr>
      <w:r w:rsidRPr="006748B6">
        <w:rPr>
          <w:rStyle w:val="FootnoteReference"/>
        </w:rPr>
        <w:footnoteRef/>
      </w:r>
      <w:r w:rsidRPr="006748B6">
        <w:t xml:space="preserve">Indeed, institutional investors and the advisors they retain have begun reacting negatively to fee-shifting bylaws; Institutional Shareholder Services, a firm that advises institutional investors, recommends not only voting against fee-shifting bylaws that penalize shareholders who are only partially successful in litigation, but also encourages shareholders to vote against directors who engaged in pre-IPO adoption of bylaw and/or charter provisions.  Institutional Shareholder Services, United States Proxy Voting Guideline Updates: 2015 Benchmark Policy Recommendations, at 3, 7 (Nov. 6, 2014), </w:t>
      </w:r>
      <w:r w:rsidRPr="006748B6">
        <w:rPr>
          <w:i/>
        </w:rPr>
        <w:t>available at</w:t>
      </w:r>
      <w:r w:rsidRPr="006748B6">
        <w:t xml:space="preserve"> http://www.issgovernance.com/file/policy/</w:t>
      </w:r>
    </w:p>
    <w:p w14:paraId="528BD6AD" w14:textId="1D079C90" w:rsidR="00060C5F" w:rsidRPr="006748B6" w:rsidRDefault="00060C5F" w:rsidP="00420640">
      <w:pPr>
        <w:pStyle w:val="FootnoteText"/>
      </w:pPr>
      <w:r w:rsidRPr="006748B6">
        <w:t>2015USPolicyUpdates.pdf.</w:t>
      </w:r>
    </w:p>
  </w:footnote>
  <w:footnote w:id="168">
    <w:p w14:paraId="5ABFABEF" w14:textId="0B2C46C7" w:rsidR="00060C5F" w:rsidRPr="006748B6" w:rsidRDefault="00060C5F" w:rsidP="002E612F">
      <w:pPr>
        <w:pStyle w:val="FootnoteText"/>
        <w:ind w:firstLine="720"/>
      </w:pPr>
      <w:r w:rsidRPr="006748B6">
        <w:rPr>
          <w:rStyle w:val="FootnoteReference"/>
        </w:rPr>
        <w:footnoteRef/>
      </w:r>
      <w:r w:rsidRPr="006748B6">
        <w:rPr>
          <w:i/>
        </w:rPr>
        <w:t>See</w:t>
      </w:r>
      <w:r w:rsidRPr="006748B6">
        <w:t xml:space="preserve"> Frankel, </w:t>
      </w:r>
      <w:r w:rsidRPr="006748B6">
        <w:rPr>
          <w:i/>
        </w:rPr>
        <w:t xml:space="preserve">supra </w:t>
      </w:r>
      <w:r w:rsidRPr="006748B6">
        <w:t xml:space="preserve">note 40 (questioning why the Securities and Exchange Commission has not intervened to prevent the adoption of fee-shifting provisions without sufficient notice to investors); </w:t>
      </w:r>
      <w:r w:rsidRPr="006748B6">
        <w:rPr>
          <w:i/>
        </w:rPr>
        <w:t xml:space="preserve">see also </w:t>
      </w:r>
      <w:r w:rsidRPr="006748B6">
        <w:t xml:space="preserve">Letter from Sen. Richard Blumenthal to The Honorable Mary Jo White, Chairman of the Securities and Exchange Commission (Oct. 29, 2014), </w:t>
      </w:r>
      <w:r w:rsidRPr="006748B6">
        <w:rPr>
          <w:i/>
        </w:rPr>
        <w:t>available at</w:t>
      </w:r>
      <w:r w:rsidRPr="006748B6">
        <w:t xml:space="preserve"> http://www.blumenthal.senate.gov/newsroom/press/release/blumenthal-calls-on-sec-to-protect-critical-check-on-corporate-malfeasance (requesting that the Securities and Exchange Commission take action to protect investors from fee-shifting provisions).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40D"/>
    <w:multiLevelType w:val="hybridMultilevel"/>
    <w:tmpl w:val="9F922836"/>
    <w:lvl w:ilvl="0" w:tplc="E320D404">
      <w:start w:val="1"/>
      <w:numFmt w:val="upperLetter"/>
      <w:pStyle w:val="Heading2"/>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63696"/>
    <w:multiLevelType w:val="hybridMultilevel"/>
    <w:tmpl w:val="CC185A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331E88"/>
    <w:multiLevelType w:val="multilevel"/>
    <w:tmpl w:val="347E33D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4C62042F"/>
    <w:multiLevelType w:val="hybridMultilevel"/>
    <w:tmpl w:val="590208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2813B2"/>
    <w:multiLevelType w:val="hybridMultilevel"/>
    <w:tmpl w:val="B12EE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121FC"/>
    <w:multiLevelType w:val="hybridMultilevel"/>
    <w:tmpl w:val="F2206A9A"/>
    <w:lvl w:ilvl="0" w:tplc="04A22E72">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0"/>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FF"/>
    <w:rsid w:val="00000A3A"/>
    <w:rsid w:val="000013BF"/>
    <w:rsid w:val="000019D7"/>
    <w:rsid w:val="00003F34"/>
    <w:rsid w:val="000048DF"/>
    <w:rsid w:val="00004DDA"/>
    <w:rsid w:val="00004FB3"/>
    <w:rsid w:val="000063A2"/>
    <w:rsid w:val="000065FB"/>
    <w:rsid w:val="00006DB2"/>
    <w:rsid w:val="0000744A"/>
    <w:rsid w:val="00007A4C"/>
    <w:rsid w:val="00007E67"/>
    <w:rsid w:val="000102A1"/>
    <w:rsid w:val="00010641"/>
    <w:rsid w:val="00010DA5"/>
    <w:rsid w:val="00010DBA"/>
    <w:rsid w:val="00011BB5"/>
    <w:rsid w:val="00013883"/>
    <w:rsid w:val="00014D77"/>
    <w:rsid w:val="000154FA"/>
    <w:rsid w:val="00015603"/>
    <w:rsid w:val="000157F9"/>
    <w:rsid w:val="00015807"/>
    <w:rsid w:val="00015D79"/>
    <w:rsid w:val="0001686A"/>
    <w:rsid w:val="00017555"/>
    <w:rsid w:val="000179B1"/>
    <w:rsid w:val="00017AE4"/>
    <w:rsid w:val="00017E1E"/>
    <w:rsid w:val="000200AC"/>
    <w:rsid w:val="0002091C"/>
    <w:rsid w:val="00021200"/>
    <w:rsid w:val="0002127A"/>
    <w:rsid w:val="00021538"/>
    <w:rsid w:val="000215EB"/>
    <w:rsid w:val="0002166E"/>
    <w:rsid w:val="00021DB6"/>
    <w:rsid w:val="00022944"/>
    <w:rsid w:val="000233D8"/>
    <w:rsid w:val="00023D42"/>
    <w:rsid w:val="00023D94"/>
    <w:rsid w:val="00024A10"/>
    <w:rsid w:val="00024D50"/>
    <w:rsid w:val="000256A7"/>
    <w:rsid w:val="000266D7"/>
    <w:rsid w:val="00027DEB"/>
    <w:rsid w:val="000307B7"/>
    <w:rsid w:val="00030C50"/>
    <w:rsid w:val="0003218B"/>
    <w:rsid w:val="00032331"/>
    <w:rsid w:val="000328E2"/>
    <w:rsid w:val="00032923"/>
    <w:rsid w:val="00032A77"/>
    <w:rsid w:val="00032B95"/>
    <w:rsid w:val="00035504"/>
    <w:rsid w:val="0003553F"/>
    <w:rsid w:val="00035ABB"/>
    <w:rsid w:val="00036654"/>
    <w:rsid w:val="000368CF"/>
    <w:rsid w:val="0003740A"/>
    <w:rsid w:val="000401B6"/>
    <w:rsid w:val="0004149A"/>
    <w:rsid w:val="00041DF3"/>
    <w:rsid w:val="0004227B"/>
    <w:rsid w:val="00042418"/>
    <w:rsid w:val="00043922"/>
    <w:rsid w:val="00043975"/>
    <w:rsid w:val="0004403E"/>
    <w:rsid w:val="00044532"/>
    <w:rsid w:val="00044556"/>
    <w:rsid w:val="00044B14"/>
    <w:rsid w:val="00045970"/>
    <w:rsid w:val="000460AC"/>
    <w:rsid w:val="0004758C"/>
    <w:rsid w:val="00050AC2"/>
    <w:rsid w:val="000512A3"/>
    <w:rsid w:val="00051C9B"/>
    <w:rsid w:val="00051E32"/>
    <w:rsid w:val="00053601"/>
    <w:rsid w:val="000536C2"/>
    <w:rsid w:val="00053E69"/>
    <w:rsid w:val="00060C5F"/>
    <w:rsid w:val="00060F91"/>
    <w:rsid w:val="000629EB"/>
    <w:rsid w:val="00062E43"/>
    <w:rsid w:val="00063D94"/>
    <w:rsid w:val="00063FF7"/>
    <w:rsid w:val="00064898"/>
    <w:rsid w:val="00064BA2"/>
    <w:rsid w:val="00065422"/>
    <w:rsid w:val="000667F8"/>
    <w:rsid w:val="00066D8C"/>
    <w:rsid w:val="000673B2"/>
    <w:rsid w:val="00067A26"/>
    <w:rsid w:val="00070D84"/>
    <w:rsid w:val="00072172"/>
    <w:rsid w:val="00072967"/>
    <w:rsid w:val="00073775"/>
    <w:rsid w:val="0007427A"/>
    <w:rsid w:val="00074338"/>
    <w:rsid w:val="00074867"/>
    <w:rsid w:val="00074CC7"/>
    <w:rsid w:val="000767CD"/>
    <w:rsid w:val="00076965"/>
    <w:rsid w:val="00076B3B"/>
    <w:rsid w:val="00077040"/>
    <w:rsid w:val="000804A1"/>
    <w:rsid w:val="0008065F"/>
    <w:rsid w:val="000806F7"/>
    <w:rsid w:val="00081A7B"/>
    <w:rsid w:val="00082874"/>
    <w:rsid w:val="00083E66"/>
    <w:rsid w:val="00083FCE"/>
    <w:rsid w:val="00085408"/>
    <w:rsid w:val="00085469"/>
    <w:rsid w:val="00085A98"/>
    <w:rsid w:val="0008640F"/>
    <w:rsid w:val="000904FB"/>
    <w:rsid w:val="00090BC9"/>
    <w:rsid w:val="0009156A"/>
    <w:rsid w:val="000915BB"/>
    <w:rsid w:val="00091B1C"/>
    <w:rsid w:val="00094510"/>
    <w:rsid w:val="0009472A"/>
    <w:rsid w:val="00094E50"/>
    <w:rsid w:val="000951D2"/>
    <w:rsid w:val="0009675C"/>
    <w:rsid w:val="000A058F"/>
    <w:rsid w:val="000A158A"/>
    <w:rsid w:val="000A1C5D"/>
    <w:rsid w:val="000A4959"/>
    <w:rsid w:val="000A51A1"/>
    <w:rsid w:val="000A6698"/>
    <w:rsid w:val="000A79C3"/>
    <w:rsid w:val="000A7B47"/>
    <w:rsid w:val="000B02D5"/>
    <w:rsid w:val="000B0503"/>
    <w:rsid w:val="000B0BD0"/>
    <w:rsid w:val="000B1E78"/>
    <w:rsid w:val="000B201F"/>
    <w:rsid w:val="000B27CE"/>
    <w:rsid w:val="000B2873"/>
    <w:rsid w:val="000B2BB5"/>
    <w:rsid w:val="000B33DD"/>
    <w:rsid w:val="000B386B"/>
    <w:rsid w:val="000B3F27"/>
    <w:rsid w:val="000B46DC"/>
    <w:rsid w:val="000B47D9"/>
    <w:rsid w:val="000B581B"/>
    <w:rsid w:val="000B6417"/>
    <w:rsid w:val="000B7F14"/>
    <w:rsid w:val="000C09F8"/>
    <w:rsid w:val="000C0E5E"/>
    <w:rsid w:val="000C14D5"/>
    <w:rsid w:val="000C19DA"/>
    <w:rsid w:val="000C1FF0"/>
    <w:rsid w:val="000C20F4"/>
    <w:rsid w:val="000C21F9"/>
    <w:rsid w:val="000C281B"/>
    <w:rsid w:val="000C2C60"/>
    <w:rsid w:val="000C3AB5"/>
    <w:rsid w:val="000C4A70"/>
    <w:rsid w:val="000C4BA4"/>
    <w:rsid w:val="000C5271"/>
    <w:rsid w:val="000C6FBC"/>
    <w:rsid w:val="000C7976"/>
    <w:rsid w:val="000D0184"/>
    <w:rsid w:val="000D081F"/>
    <w:rsid w:val="000D0A51"/>
    <w:rsid w:val="000D285B"/>
    <w:rsid w:val="000D339A"/>
    <w:rsid w:val="000D38F1"/>
    <w:rsid w:val="000D39CE"/>
    <w:rsid w:val="000D4919"/>
    <w:rsid w:val="000D4DBF"/>
    <w:rsid w:val="000D51E4"/>
    <w:rsid w:val="000E046F"/>
    <w:rsid w:val="000E090D"/>
    <w:rsid w:val="000E12E0"/>
    <w:rsid w:val="000E20D3"/>
    <w:rsid w:val="000E2798"/>
    <w:rsid w:val="000E2A77"/>
    <w:rsid w:val="000E3ECB"/>
    <w:rsid w:val="000E4181"/>
    <w:rsid w:val="000E436B"/>
    <w:rsid w:val="000E442F"/>
    <w:rsid w:val="000E4DAD"/>
    <w:rsid w:val="000E509A"/>
    <w:rsid w:val="000E512A"/>
    <w:rsid w:val="000E5A8B"/>
    <w:rsid w:val="000E6410"/>
    <w:rsid w:val="000F0B72"/>
    <w:rsid w:val="000F0BED"/>
    <w:rsid w:val="000F3DEE"/>
    <w:rsid w:val="000F43E1"/>
    <w:rsid w:val="000F5863"/>
    <w:rsid w:val="000F6CAA"/>
    <w:rsid w:val="000F6D3A"/>
    <w:rsid w:val="000F7B23"/>
    <w:rsid w:val="00102C88"/>
    <w:rsid w:val="00102E49"/>
    <w:rsid w:val="00103A51"/>
    <w:rsid w:val="001043E1"/>
    <w:rsid w:val="001055D2"/>
    <w:rsid w:val="00105D1D"/>
    <w:rsid w:val="00106FE5"/>
    <w:rsid w:val="001072AF"/>
    <w:rsid w:val="00107302"/>
    <w:rsid w:val="00107687"/>
    <w:rsid w:val="00107BEE"/>
    <w:rsid w:val="00107D02"/>
    <w:rsid w:val="00110588"/>
    <w:rsid w:val="00111F42"/>
    <w:rsid w:val="00112724"/>
    <w:rsid w:val="00113A96"/>
    <w:rsid w:val="00113AF0"/>
    <w:rsid w:val="00113E4D"/>
    <w:rsid w:val="00114432"/>
    <w:rsid w:val="00114B0B"/>
    <w:rsid w:val="00114BA3"/>
    <w:rsid w:val="00116449"/>
    <w:rsid w:val="00116D74"/>
    <w:rsid w:val="00117E39"/>
    <w:rsid w:val="0012031E"/>
    <w:rsid w:val="00120B9E"/>
    <w:rsid w:val="00121F12"/>
    <w:rsid w:val="0012271F"/>
    <w:rsid w:val="00123500"/>
    <w:rsid w:val="00124BBB"/>
    <w:rsid w:val="00126117"/>
    <w:rsid w:val="001266CF"/>
    <w:rsid w:val="00126D80"/>
    <w:rsid w:val="001276ED"/>
    <w:rsid w:val="0013041B"/>
    <w:rsid w:val="00130A45"/>
    <w:rsid w:val="00130B43"/>
    <w:rsid w:val="00130B86"/>
    <w:rsid w:val="001310F2"/>
    <w:rsid w:val="0013118D"/>
    <w:rsid w:val="0013129C"/>
    <w:rsid w:val="00131D4F"/>
    <w:rsid w:val="00132FF5"/>
    <w:rsid w:val="001358D5"/>
    <w:rsid w:val="00135C0C"/>
    <w:rsid w:val="00135E29"/>
    <w:rsid w:val="0013602A"/>
    <w:rsid w:val="001366A9"/>
    <w:rsid w:val="00136BE1"/>
    <w:rsid w:val="00137298"/>
    <w:rsid w:val="001372C8"/>
    <w:rsid w:val="00140026"/>
    <w:rsid w:val="00140424"/>
    <w:rsid w:val="001405BC"/>
    <w:rsid w:val="00141CF8"/>
    <w:rsid w:val="00142880"/>
    <w:rsid w:val="00142D75"/>
    <w:rsid w:val="001456C5"/>
    <w:rsid w:val="00146752"/>
    <w:rsid w:val="00147975"/>
    <w:rsid w:val="00150589"/>
    <w:rsid w:val="001513E7"/>
    <w:rsid w:val="001540CA"/>
    <w:rsid w:val="0015417C"/>
    <w:rsid w:val="001541DB"/>
    <w:rsid w:val="0015449B"/>
    <w:rsid w:val="00155799"/>
    <w:rsid w:val="0015589E"/>
    <w:rsid w:val="0015591B"/>
    <w:rsid w:val="00155C70"/>
    <w:rsid w:val="00156E38"/>
    <w:rsid w:val="00157DB5"/>
    <w:rsid w:val="00160DDD"/>
    <w:rsid w:val="00161BE4"/>
    <w:rsid w:val="00161CF9"/>
    <w:rsid w:val="00162671"/>
    <w:rsid w:val="00162FDF"/>
    <w:rsid w:val="00164D5E"/>
    <w:rsid w:val="00164F8D"/>
    <w:rsid w:val="00165A43"/>
    <w:rsid w:val="001664C0"/>
    <w:rsid w:val="001664E9"/>
    <w:rsid w:val="00167C77"/>
    <w:rsid w:val="00167D75"/>
    <w:rsid w:val="00167EC7"/>
    <w:rsid w:val="0017082A"/>
    <w:rsid w:val="00170A4D"/>
    <w:rsid w:val="00170C20"/>
    <w:rsid w:val="001710F6"/>
    <w:rsid w:val="001716AD"/>
    <w:rsid w:val="00171ED1"/>
    <w:rsid w:val="0017386C"/>
    <w:rsid w:val="00173EFC"/>
    <w:rsid w:val="0017438C"/>
    <w:rsid w:val="001748D7"/>
    <w:rsid w:val="00174F06"/>
    <w:rsid w:val="00175F53"/>
    <w:rsid w:val="001761FA"/>
    <w:rsid w:val="00176731"/>
    <w:rsid w:val="00176A89"/>
    <w:rsid w:val="00176F9E"/>
    <w:rsid w:val="00177742"/>
    <w:rsid w:val="00177948"/>
    <w:rsid w:val="00177D1D"/>
    <w:rsid w:val="00181ADF"/>
    <w:rsid w:val="00181ECA"/>
    <w:rsid w:val="00184141"/>
    <w:rsid w:val="00184AD0"/>
    <w:rsid w:val="00185309"/>
    <w:rsid w:val="00186867"/>
    <w:rsid w:val="00186A40"/>
    <w:rsid w:val="00186E13"/>
    <w:rsid w:val="00190A5E"/>
    <w:rsid w:val="001916BC"/>
    <w:rsid w:val="001919AC"/>
    <w:rsid w:val="00193CE3"/>
    <w:rsid w:val="00194AB7"/>
    <w:rsid w:val="00194CD6"/>
    <w:rsid w:val="00194F17"/>
    <w:rsid w:val="0019536B"/>
    <w:rsid w:val="00195906"/>
    <w:rsid w:val="00196B72"/>
    <w:rsid w:val="001972DC"/>
    <w:rsid w:val="001A0F18"/>
    <w:rsid w:val="001A0FFE"/>
    <w:rsid w:val="001A1666"/>
    <w:rsid w:val="001A48E4"/>
    <w:rsid w:val="001A49DB"/>
    <w:rsid w:val="001A655F"/>
    <w:rsid w:val="001A78F5"/>
    <w:rsid w:val="001B0089"/>
    <w:rsid w:val="001B05B6"/>
    <w:rsid w:val="001B061E"/>
    <w:rsid w:val="001B079F"/>
    <w:rsid w:val="001B0D62"/>
    <w:rsid w:val="001B13B1"/>
    <w:rsid w:val="001B149D"/>
    <w:rsid w:val="001B164B"/>
    <w:rsid w:val="001B20F3"/>
    <w:rsid w:val="001B27CF"/>
    <w:rsid w:val="001B28E2"/>
    <w:rsid w:val="001B36AE"/>
    <w:rsid w:val="001B4844"/>
    <w:rsid w:val="001B4BDE"/>
    <w:rsid w:val="001B5BC6"/>
    <w:rsid w:val="001B6DAD"/>
    <w:rsid w:val="001B7BC6"/>
    <w:rsid w:val="001C0078"/>
    <w:rsid w:val="001C0749"/>
    <w:rsid w:val="001C1BDB"/>
    <w:rsid w:val="001C2632"/>
    <w:rsid w:val="001C28FA"/>
    <w:rsid w:val="001C2F70"/>
    <w:rsid w:val="001C505A"/>
    <w:rsid w:val="001C5CEA"/>
    <w:rsid w:val="001C662C"/>
    <w:rsid w:val="001C672D"/>
    <w:rsid w:val="001C7733"/>
    <w:rsid w:val="001D00F4"/>
    <w:rsid w:val="001D018F"/>
    <w:rsid w:val="001D0BFA"/>
    <w:rsid w:val="001D1D3C"/>
    <w:rsid w:val="001D28A9"/>
    <w:rsid w:val="001D3449"/>
    <w:rsid w:val="001D37AE"/>
    <w:rsid w:val="001D70C9"/>
    <w:rsid w:val="001D7B4D"/>
    <w:rsid w:val="001E1681"/>
    <w:rsid w:val="001E20CF"/>
    <w:rsid w:val="001E2428"/>
    <w:rsid w:val="001E29F0"/>
    <w:rsid w:val="001E2BF9"/>
    <w:rsid w:val="001E3334"/>
    <w:rsid w:val="001E41C0"/>
    <w:rsid w:val="001E4513"/>
    <w:rsid w:val="001E59D2"/>
    <w:rsid w:val="001E65FB"/>
    <w:rsid w:val="001E6F3C"/>
    <w:rsid w:val="001E6FC1"/>
    <w:rsid w:val="001E7640"/>
    <w:rsid w:val="001F0289"/>
    <w:rsid w:val="001F0412"/>
    <w:rsid w:val="001F0ABE"/>
    <w:rsid w:val="001F0C88"/>
    <w:rsid w:val="001F1F82"/>
    <w:rsid w:val="001F33D3"/>
    <w:rsid w:val="001F3B5C"/>
    <w:rsid w:val="001F4759"/>
    <w:rsid w:val="001F4994"/>
    <w:rsid w:val="001F4A7E"/>
    <w:rsid w:val="001F4C7C"/>
    <w:rsid w:val="001F537D"/>
    <w:rsid w:val="001F5467"/>
    <w:rsid w:val="001F5872"/>
    <w:rsid w:val="001F6143"/>
    <w:rsid w:val="001F7C07"/>
    <w:rsid w:val="001F7DDB"/>
    <w:rsid w:val="002023A5"/>
    <w:rsid w:val="00202957"/>
    <w:rsid w:val="00203BD7"/>
    <w:rsid w:val="00205139"/>
    <w:rsid w:val="00205590"/>
    <w:rsid w:val="002056BF"/>
    <w:rsid w:val="00205C22"/>
    <w:rsid w:val="00207A47"/>
    <w:rsid w:val="00210A6D"/>
    <w:rsid w:val="002119B0"/>
    <w:rsid w:val="0021354D"/>
    <w:rsid w:val="00213921"/>
    <w:rsid w:val="00213DE1"/>
    <w:rsid w:val="00214467"/>
    <w:rsid w:val="002157EE"/>
    <w:rsid w:val="00216256"/>
    <w:rsid w:val="00221181"/>
    <w:rsid w:val="00225767"/>
    <w:rsid w:val="00225950"/>
    <w:rsid w:val="002264F2"/>
    <w:rsid w:val="00226558"/>
    <w:rsid w:val="00227807"/>
    <w:rsid w:val="00227BB2"/>
    <w:rsid w:val="002309CB"/>
    <w:rsid w:val="00231191"/>
    <w:rsid w:val="0023144C"/>
    <w:rsid w:val="002315A8"/>
    <w:rsid w:val="002323E2"/>
    <w:rsid w:val="002330AF"/>
    <w:rsid w:val="0023310D"/>
    <w:rsid w:val="002338DF"/>
    <w:rsid w:val="00233DD6"/>
    <w:rsid w:val="00234F5A"/>
    <w:rsid w:val="0023521E"/>
    <w:rsid w:val="002358F6"/>
    <w:rsid w:val="00235ED1"/>
    <w:rsid w:val="002373EC"/>
    <w:rsid w:val="0023760C"/>
    <w:rsid w:val="00240150"/>
    <w:rsid w:val="00240EB8"/>
    <w:rsid w:val="002422F3"/>
    <w:rsid w:val="00242A6B"/>
    <w:rsid w:val="00243B84"/>
    <w:rsid w:val="00243DDE"/>
    <w:rsid w:val="002445A6"/>
    <w:rsid w:val="0024508B"/>
    <w:rsid w:val="00245648"/>
    <w:rsid w:val="00246C51"/>
    <w:rsid w:val="00246D4D"/>
    <w:rsid w:val="00250368"/>
    <w:rsid w:val="0025066E"/>
    <w:rsid w:val="00250E19"/>
    <w:rsid w:val="0025223A"/>
    <w:rsid w:val="00252913"/>
    <w:rsid w:val="00252B8C"/>
    <w:rsid w:val="0025403D"/>
    <w:rsid w:val="00255864"/>
    <w:rsid w:val="00255DD4"/>
    <w:rsid w:val="00257EA2"/>
    <w:rsid w:val="00261476"/>
    <w:rsid w:val="00262D47"/>
    <w:rsid w:val="002635BE"/>
    <w:rsid w:val="00263B97"/>
    <w:rsid w:val="00264514"/>
    <w:rsid w:val="00264565"/>
    <w:rsid w:val="00264690"/>
    <w:rsid w:val="00265723"/>
    <w:rsid w:val="00266A82"/>
    <w:rsid w:val="00266B20"/>
    <w:rsid w:val="00267020"/>
    <w:rsid w:val="00267814"/>
    <w:rsid w:val="00267BBC"/>
    <w:rsid w:val="00267BC1"/>
    <w:rsid w:val="00267C23"/>
    <w:rsid w:val="002700FC"/>
    <w:rsid w:val="00271424"/>
    <w:rsid w:val="00271B4A"/>
    <w:rsid w:val="00271C3D"/>
    <w:rsid w:val="0027231B"/>
    <w:rsid w:val="00272877"/>
    <w:rsid w:val="00273308"/>
    <w:rsid w:val="002738C8"/>
    <w:rsid w:val="00273B6F"/>
    <w:rsid w:val="00274A9A"/>
    <w:rsid w:val="00274C92"/>
    <w:rsid w:val="00274DA4"/>
    <w:rsid w:val="00276259"/>
    <w:rsid w:val="002774C3"/>
    <w:rsid w:val="002807BD"/>
    <w:rsid w:val="0028082B"/>
    <w:rsid w:val="00281095"/>
    <w:rsid w:val="002811DC"/>
    <w:rsid w:val="00281430"/>
    <w:rsid w:val="00281FB7"/>
    <w:rsid w:val="00283DBD"/>
    <w:rsid w:val="00285E51"/>
    <w:rsid w:val="00285E55"/>
    <w:rsid w:val="00287BED"/>
    <w:rsid w:val="00287D35"/>
    <w:rsid w:val="00287E34"/>
    <w:rsid w:val="00290840"/>
    <w:rsid w:val="00290CF6"/>
    <w:rsid w:val="00291314"/>
    <w:rsid w:val="002927F8"/>
    <w:rsid w:val="00294704"/>
    <w:rsid w:val="00295D3D"/>
    <w:rsid w:val="00297ACE"/>
    <w:rsid w:val="002A02C6"/>
    <w:rsid w:val="002A0E5A"/>
    <w:rsid w:val="002A12F8"/>
    <w:rsid w:val="002A2B59"/>
    <w:rsid w:val="002A2F38"/>
    <w:rsid w:val="002A3D16"/>
    <w:rsid w:val="002A3F7E"/>
    <w:rsid w:val="002A3F92"/>
    <w:rsid w:val="002A4035"/>
    <w:rsid w:val="002A4B6A"/>
    <w:rsid w:val="002A4F49"/>
    <w:rsid w:val="002A553D"/>
    <w:rsid w:val="002A5546"/>
    <w:rsid w:val="002A5689"/>
    <w:rsid w:val="002A6A9A"/>
    <w:rsid w:val="002A7338"/>
    <w:rsid w:val="002A76A7"/>
    <w:rsid w:val="002A7827"/>
    <w:rsid w:val="002B0409"/>
    <w:rsid w:val="002B05D0"/>
    <w:rsid w:val="002B0738"/>
    <w:rsid w:val="002B07CB"/>
    <w:rsid w:val="002B1006"/>
    <w:rsid w:val="002B22B3"/>
    <w:rsid w:val="002B299B"/>
    <w:rsid w:val="002B2A9F"/>
    <w:rsid w:val="002B2AF0"/>
    <w:rsid w:val="002B3ACF"/>
    <w:rsid w:val="002B46B7"/>
    <w:rsid w:val="002B5C16"/>
    <w:rsid w:val="002B6C4D"/>
    <w:rsid w:val="002C0711"/>
    <w:rsid w:val="002C0DD4"/>
    <w:rsid w:val="002C36EC"/>
    <w:rsid w:val="002C3D14"/>
    <w:rsid w:val="002C4631"/>
    <w:rsid w:val="002C4B2D"/>
    <w:rsid w:val="002C6FC8"/>
    <w:rsid w:val="002C71E2"/>
    <w:rsid w:val="002D0964"/>
    <w:rsid w:val="002D1673"/>
    <w:rsid w:val="002D229E"/>
    <w:rsid w:val="002D22D1"/>
    <w:rsid w:val="002D2DEB"/>
    <w:rsid w:val="002D3136"/>
    <w:rsid w:val="002D32A5"/>
    <w:rsid w:val="002D383D"/>
    <w:rsid w:val="002D3B87"/>
    <w:rsid w:val="002D4E55"/>
    <w:rsid w:val="002D5338"/>
    <w:rsid w:val="002D66A8"/>
    <w:rsid w:val="002D6EF9"/>
    <w:rsid w:val="002D706C"/>
    <w:rsid w:val="002E015D"/>
    <w:rsid w:val="002E03EF"/>
    <w:rsid w:val="002E09CB"/>
    <w:rsid w:val="002E1C5A"/>
    <w:rsid w:val="002E2ABC"/>
    <w:rsid w:val="002E34BC"/>
    <w:rsid w:val="002E57AF"/>
    <w:rsid w:val="002E59F2"/>
    <w:rsid w:val="002E5A0E"/>
    <w:rsid w:val="002E612F"/>
    <w:rsid w:val="002E677C"/>
    <w:rsid w:val="002E6ECD"/>
    <w:rsid w:val="002E7477"/>
    <w:rsid w:val="002F01A1"/>
    <w:rsid w:val="002F0AEC"/>
    <w:rsid w:val="002F0DEE"/>
    <w:rsid w:val="002F2BE2"/>
    <w:rsid w:val="002F3CAA"/>
    <w:rsid w:val="002F4322"/>
    <w:rsid w:val="002F53B9"/>
    <w:rsid w:val="002F5DB9"/>
    <w:rsid w:val="002F601B"/>
    <w:rsid w:val="002F6791"/>
    <w:rsid w:val="002F6940"/>
    <w:rsid w:val="002F6EC5"/>
    <w:rsid w:val="00300724"/>
    <w:rsid w:val="0030292B"/>
    <w:rsid w:val="00302C7A"/>
    <w:rsid w:val="00304219"/>
    <w:rsid w:val="00304F23"/>
    <w:rsid w:val="0030502E"/>
    <w:rsid w:val="00305EEC"/>
    <w:rsid w:val="00305F70"/>
    <w:rsid w:val="00306000"/>
    <w:rsid w:val="00306084"/>
    <w:rsid w:val="00310265"/>
    <w:rsid w:val="0031031E"/>
    <w:rsid w:val="00311764"/>
    <w:rsid w:val="003125E9"/>
    <w:rsid w:val="00312616"/>
    <w:rsid w:val="00312FD2"/>
    <w:rsid w:val="0031334A"/>
    <w:rsid w:val="00313746"/>
    <w:rsid w:val="00313A40"/>
    <w:rsid w:val="00313F34"/>
    <w:rsid w:val="003144DA"/>
    <w:rsid w:val="00316313"/>
    <w:rsid w:val="00316553"/>
    <w:rsid w:val="003166FB"/>
    <w:rsid w:val="00316974"/>
    <w:rsid w:val="00316D21"/>
    <w:rsid w:val="00316D54"/>
    <w:rsid w:val="003170C2"/>
    <w:rsid w:val="00320708"/>
    <w:rsid w:val="00321040"/>
    <w:rsid w:val="00321AF4"/>
    <w:rsid w:val="00322085"/>
    <w:rsid w:val="00322A1C"/>
    <w:rsid w:val="00322DFA"/>
    <w:rsid w:val="003232A8"/>
    <w:rsid w:val="003247DB"/>
    <w:rsid w:val="0032483C"/>
    <w:rsid w:val="00324A7A"/>
    <w:rsid w:val="00327FB8"/>
    <w:rsid w:val="00330023"/>
    <w:rsid w:val="003321C3"/>
    <w:rsid w:val="00332706"/>
    <w:rsid w:val="00333724"/>
    <w:rsid w:val="00333B2B"/>
    <w:rsid w:val="00333DE7"/>
    <w:rsid w:val="0033439B"/>
    <w:rsid w:val="00334692"/>
    <w:rsid w:val="00335133"/>
    <w:rsid w:val="00335493"/>
    <w:rsid w:val="00336CAD"/>
    <w:rsid w:val="003376AB"/>
    <w:rsid w:val="00341292"/>
    <w:rsid w:val="003422F8"/>
    <w:rsid w:val="0034359F"/>
    <w:rsid w:val="00343D15"/>
    <w:rsid w:val="00344103"/>
    <w:rsid w:val="00344D51"/>
    <w:rsid w:val="00344E8B"/>
    <w:rsid w:val="00345472"/>
    <w:rsid w:val="00345CE0"/>
    <w:rsid w:val="00346866"/>
    <w:rsid w:val="00347332"/>
    <w:rsid w:val="003479AB"/>
    <w:rsid w:val="00350505"/>
    <w:rsid w:val="00350938"/>
    <w:rsid w:val="00351388"/>
    <w:rsid w:val="003531C2"/>
    <w:rsid w:val="003537C3"/>
    <w:rsid w:val="00354465"/>
    <w:rsid w:val="003553F8"/>
    <w:rsid w:val="003554D1"/>
    <w:rsid w:val="003564B8"/>
    <w:rsid w:val="003566AF"/>
    <w:rsid w:val="00362246"/>
    <w:rsid w:val="0036250A"/>
    <w:rsid w:val="00364D32"/>
    <w:rsid w:val="003655C6"/>
    <w:rsid w:val="00366B75"/>
    <w:rsid w:val="003672AE"/>
    <w:rsid w:val="003703E7"/>
    <w:rsid w:val="00370ABA"/>
    <w:rsid w:val="00371282"/>
    <w:rsid w:val="0037170E"/>
    <w:rsid w:val="00372A80"/>
    <w:rsid w:val="00373DE6"/>
    <w:rsid w:val="00374108"/>
    <w:rsid w:val="003748DA"/>
    <w:rsid w:val="00375B46"/>
    <w:rsid w:val="0037654F"/>
    <w:rsid w:val="00376BD5"/>
    <w:rsid w:val="00376C46"/>
    <w:rsid w:val="003770D0"/>
    <w:rsid w:val="00377537"/>
    <w:rsid w:val="0037773B"/>
    <w:rsid w:val="0038010F"/>
    <w:rsid w:val="003802A6"/>
    <w:rsid w:val="003805F5"/>
    <w:rsid w:val="003809C2"/>
    <w:rsid w:val="00381288"/>
    <w:rsid w:val="00381E39"/>
    <w:rsid w:val="00383B5C"/>
    <w:rsid w:val="00385595"/>
    <w:rsid w:val="0038560D"/>
    <w:rsid w:val="00385A2A"/>
    <w:rsid w:val="00386732"/>
    <w:rsid w:val="003867C7"/>
    <w:rsid w:val="00386B6E"/>
    <w:rsid w:val="00390115"/>
    <w:rsid w:val="00390DC3"/>
    <w:rsid w:val="00391843"/>
    <w:rsid w:val="00392147"/>
    <w:rsid w:val="0039279B"/>
    <w:rsid w:val="0039385D"/>
    <w:rsid w:val="003946BA"/>
    <w:rsid w:val="00396377"/>
    <w:rsid w:val="003973AF"/>
    <w:rsid w:val="00397544"/>
    <w:rsid w:val="00397F4F"/>
    <w:rsid w:val="003A0C94"/>
    <w:rsid w:val="003A0D03"/>
    <w:rsid w:val="003A0D5D"/>
    <w:rsid w:val="003A1B97"/>
    <w:rsid w:val="003A3610"/>
    <w:rsid w:val="003A39AC"/>
    <w:rsid w:val="003A3A87"/>
    <w:rsid w:val="003A4543"/>
    <w:rsid w:val="003A5874"/>
    <w:rsid w:val="003A6173"/>
    <w:rsid w:val="003A6F85"/>
    <w:rsid w:val="003A7E0C"/>
    <w:rsid w:val="003B0C65"/>
    <w:rsid w:val="003B0FCE"/>
    <w:rsid w:val="003B2C49"/>
    <w:rsid w:val="003B4C2F"/>
    <w:rsid w:val="003B4DB2"/>
    <w:rsid w:val="003B5744"/>
    <w:rsid w:val="003C06D9"/>
    <w:rsid w:val="003C095C"/>
    <w:rsid w:val="003C10FA"/>
    <w:rsid w:val="003C1855"/>
    <w:rsid w:val="003C1DA6"/>
    <w:rsid w:val="003C21A5"/>
    <w:rsid w:val="003C37E1"/>
    <w:rsid w:val="003C3AB2"/>
    <w:rsid w:val="003C54C9"/>
    <w:rsid w:val="003C6296"/>
    <w:rsid w:val="003C6DAD"/>
    <w:rsid w:val="003C7DE9"/>
    <w:rsid w:val="003D13B3"/>
    <w:rsid w:val="003D14C2"/>
    <w:rsid w:val="003D1E28"/>
    <w:rsid w:val="003D1E71"/>
    <w:rsid w:val="003D22B1"/>
    <w:rsid w:val="003D2E2B"/>
    <w:rsid w:val="003D336A"/>
    <w:rsid w:val="003D3BE6"/>
    <w:rsid w:val="003D3EEF"/>
    <w:rsid w:val="003D4698"/>
    <w:rsid w:val="003D5112"/>
    <w:rsid w:val="003D5721"/>
    <w:rsid w:val="003D5FA3"/>
    <w:rsid w:val="003E155B"/>
    <w:rsid w:val="003E361B"/>
    <w:rsid w:val="003E362E"/>
    <w:rsid w:val="003E3C9F"/>
    <w:rsid w:val="003E4208"/>
    <w:rsid w:val="003E4A35"/>
    <w:rsid w:val="003E57AA"/>
    <w:rsid w:val="003E70A4"/>
    <w:rsid w:val="003E71DC"/>
    <w:rsid w:val="003E7ECE"/>
    <w:rsid w:val="003F0487"/>
    <w:rsid w:val="003F17F5"/>
    <w:rsid w:val="003F1D7D"/>
    <w:rsid w:val="003F20C6"/>
    <w:rsid w:val="003F30A3"/>
    <w:rsid w:val="003F427F"/>
    <w:rsid w:val="003F4304"/>
    <w:rsid w:val="003F497A"/>
    <w:rsid w:val="003F5915"/>
    <w:rsid w:val="003F5F32"/>
    <w:rsid w:val="003F678B"/>
    <w:rsid w:val="00401447"/>
    <w:rsid w:val="00402450"/>
    <w:rsid w:val="004025B9"/>
    <w:rsid w:val="00403078"/>
    <w:rsid w:val="00403213"/>
    <w:rsid w:val="004043B4"/>
    <w:rsid w:val="0040479B"/>
    <w:rsid w:val="004047F1"/>
    <w:rsid w:val="00405059"/>
    <w:rsid w:val="0040514E"/>
    <w:rsid w:val="00405D27"/>
    <w:rsid w:val="00406031"/>
    <w:rsid w:val="004061C5"/>
    <w:rsid w:val="00407151"/>
    <w:rsid w:val="004079F9"/>
    <w:rsid w:val="004122FF"/>
    <w:rsid w:val="00412360"/>
    <w:rsid w:val="0041363C"/>
    <w:rsid w:val="004138B4"/>
    <w:rsid w:val="00413B25"/>
    <w:rsid w:val="00413BD4"/>
    <w:rsid w:val="004152F0"/>
    <w:rsid w:val="00415D69"/>
    <w:rsid w:val="00415F94"/>
    <w:rsid w:val="0041609D"/>
    <w:rsid w:val="004163E1"/>
    <w:rsid w:val="004167AB"/>
    <w:rsid w:val="004177A3"/>
    <w:rsid w:val="00420640"/>
    <w:rsid w:val="00421A57"/>
    <w:rsid w:val="00421F5F"/>
    <w:rsid w:val="004226B3"/>
    <w:rsid w:val="00423755"/>
    <w:rsid w:val="00424027"/>
    <w:rsid w:val="0042424F"/>
    <w:rsid w:val="00424526"/>
    <w:rsid w:val="00424656"/>
    <w:rsid w:val="004246B6"/>
    <w:rsid w:val="004252AA"/>
    <w:rsid w:val="00425EC2"/>
    <w:rsid w:val="00426317"/>
    <w:rsid w:val="00427360"/>
    <w:rsid w:val="004279CD"/>
    <w:rsid w:val="0043135A"/>
    <w:rsid w:val="0043149F"/>
    <w:rsid w:val="00432224"/>
    <w:rsid w:val="004323BF"/>
    <w:rsid w:val="00432EA5"/>
    <w:rsid w:val="004332D6"/>
    <w:rsid w:val="0043367A"/>
    <w:rsid w:val="0043391E"/>
    <w:rsid w:val="00433A59"/>
    <w:rsid w:val="004343AF"/>
    <w:rsid w:val="0043649A"/>
    <w:rsid w:val="00437B15"/>
    <w:rsid w:val="00437ED0"/>
    <w:rsid w:val="0044039B"/>
    <w:rsid w:val="00442EAF"/>
    <w:rsid w:val="004438D5"/>
    <w:rsid w:val="004444E6"/>
    <w:rsid w:val="004465EB"/>
    <w:rsid w:val="00446908"/>
    <w:rsid w:val="00446B26"/>
    <w:rsid w:val="00446FE6"/>
    <w:rsid w:val="00447A00"/>
    <w:rsid w:val="00451D2D"/>
    <w:rsid w:val="004537A1"/>
    <w:rsid w:val="0045390A"/>
    <w:rsid w:val="0045431E"/>
    <w:rsid w:val="00454B7C"/>
    <w:rsid w:val="00454E3F"/>
    <w:rsid w:val="00454FC7"/>
    <w:rsid w:val="00454FE4"/>
    <w:rsid w:val="0045573C"/>
    <w:rsid w:val="00455E85"/>
    <w:rsid w:val="004562A0"/>
    <w:rsid w:val="004567B9"/>
    <w:rsid w:val="00456EB4"/>
    <w:rsid w:val="00460418"/>
    <w:rsid w:val="0046289F"/>
    <w:rsid w:val="004643D5"/>
    <w:rsid w:val="00464478"/>
    <w:rsid w:val="00464573"/>
    <w:rsid w:val="00464E2F"/>
    <w:rsid w:val="004654D4"/>
    <w:rsid w:val="004660D0"/>
    <w:rsid w:val="004663C2"/>
    <w:rsid w:val="00466F45"/>
    <w:rsid w:val="00467814"/>
    <w:rsid w:val="00470ABB"/>
    <w:rsid w:val="004713C4"/>
    <w:rsid w:val="004717D7"/>
    <w:rsid w:val="004721FC"/>
    <w:rsid w:val="00472891"/>
    <w:rsid w:val="0047371B"/>
    <w:rsid w:val="004739AA"/>
    <w:rsid w:val="00473DEC"/>
    <w:rsid w:val="004755FB"/>
    <w:rsid w:val="00476309"/>
    <w:rsid w:val="004765BD"/>
    <w:rsid w:val="00476DD5"/>
    <w:rsid w:val="00477D6F"/>
    <w:rsid w:val="004809E8"/>
    <w:rsid w:val="00480DEC"/>
    <w:rsid w:val="00482021"/>
    <w:rsid w:val="004823C5"/>
    <w:rsid w:val="004828F6"/>
    <w:rsid w:val="00482923"/>
    <w:rsid w:val="00483EA9"/>
    <w:rsid w:val="004842CD"/>
    <w:rsid w:val="00485E3F"/>
    <w:rsid w:val="00486FB2"/>
    <w:rsid w:val="00487004"/>
    <w:rsid w:val="00487BC0"/>
    <w:rsid w:val="004902B2"/>
    <w:rsid w:val="004908A2"/>
    <w:rsid w:val="00490AAF"/>
    <w:rsid w:val="00490E67"/>
    <w:rsid w:val="00491134"/>
    <w:rsid w:val="00492864"/>
    <w:rsid w:val="004929C3"/>
    <w:rsid w:val="00492BFF"/>
    <w:rsid w:val="00492DDE"/>
    <w:rsid w:val="00492F56"/>
    <w:rsid w:val="0049338C"/>
    <w:rsid w:val="00493CC4"/>
    <w:rsid w:val="00493D37"/>
    <w:rsid w:val="004961A5"/>
    <w:rsid w:val="004964E0"/>
    <w:rsid w:val="00496865"/>
    <w:rsid w:val="004970DA"/>
    <w:rsid w:val="00497DAA"/>
    <w:rsid w:val="004A0F7C"/>
    <w:rsid w:val="004A17AA"/>
    <w:rsid w:val="004A300E"/>
    <w:rsid w:val="004A30C1"/>
    <w:rsid w:val="004A363C"/>
    <w:rsid w:val="004A574A"/>
    <w:rsid w:val="004A695D"/>
    <w:rsid w:val="004A6A1D"/>
    <w:rsid w:val="004A716E"/>
    <w:rsid w:val="004A751E"/>
    <w:rsid w:val="004B0BCC"/>
    <w:rsid w:val="004B125D"/>
    <w:rsid w:val="004B17D2"/>
    <w:rsid w:val="004B1B0F"/>
    <w:rsid w:val="004B1D83"/>
    <w:rsid w:val="004B2D4C"/>
    <w:rsid w:val="004B357B"/>
    <w:rsid w:val="004B4B93"/>
    <w:rsid w:val="004B690A"/>
    <w:rsid w:val="004B6D1A"/>
    <w:rsid w:val="004B6E4B"/>
    <w:rsid w:val="004B7362"/>
    <w:rsid w:val="004B78FB"/>
    <w:rsid w:val="004B7E70"/>
    <w:rsid w:val="004C0876"/>
    <w:rsid w:val="004C1D8F"/>
    <w:rsid w:val="004C1F8C"/>
    <w:rsid w:val="004C30C5"/>
    <w:rsid w:val="004C395D"/>
    <w:rsid w:val="004C452A"/>
    <w:rsid w:val="004C4BCE"/>
    <w:rsid w:val="004C530F"/>
    <w:rsid w:val="004C5477"/>
    <w:rsid w:val="004C5717"/>
    <w:rsid w:val="004C6365"/>
    <w:rsid w:val="004C6D50"/>
    <w:rsid w:val="004C7A31"/>
    <w:rsid w:val="004D28D4"/>
    <w:rsid w:val="004D2EBF"/>
    <w:rsid w:val="004D3981"/>
    <w:rsid w:val="004D39BC"/>
    <w:rsid w:val="004D4625"/>
    <w:rsid w:val="004D5D30"/>
    <w:rsid w:val="004D667A"/>
    <w:rsid w:val="004D6802"/>
    <w:rsid w:val="004D72CF"/>
    <w:rsid w:val="004E07C0"/>
    <w:rsid w:val="004E2172"/>
    <w:rsid w:val="004E2BF5"/>
    <w:rsid w:val="004E31A8"/>
    <w:rsid w:val="004E4D36"/>
    <w:rsid w:val="004E588B"/>
    <w:rsid w:val="004E5B0B"/>
    <w:rsid w:val="004E6237"/>
    <w:rsid w:val="004E631C"/>
    <w:rsid w:val="004E716E"/>
    <w:rsid w:val="004E7BDD"/>
    <w:rsid w:val="004E7FB7"/>
    <w:rsid w:val="004F0228"/>
    <w:rsid w:val="004F1AF2"/>
    <w:rsid w:val="004F382D"/>
    <w:rsid w:val="004F4A84"/>
    <w:rsid w:val="004F523A"/>
    <w:rsid w:val="004F52C8"/>
    <w:rsid w:val="004F7119"/>
    <w:rsid w:val="004F7996"/>
    <w:rsid w:val="004F7AAC"/>
    <w:rsid w:val="0050010C"/>
    <w:rsid w:val="0050252E"/>
    <w:rsid w:val="00502B25"/>
    <w:rsid w:val="00503368"/>
    <w:rsid w:val="00503689"/>
    <w:rsid w:val="00503DD6"/>
    <w:rsid w:val="00504C6D"/>
    <w:rsid w:val="00504C9C"/>
    <w:rsid w:val="00505793"/>
    <w:rsid w:val="0050580C"/>
    <w:rsid w:val="00506594"/>
    <w:rsid w:val="005066A5"/>
    <w:rsid w:val="00506C30"/>
    <w:rsid w:val="0051067A"/>
    <w:rsid w:val="005111E2"/>
    <w:rsid w:val="00511943"/>
    <w:rsid w:val="00511B60"/>
    <w:rsid w:val="00512DB6"/>
    <w:rsid w:val="00513249"/>
    <w:rsid w:val="005133B8"/>
    <w:rsid w:val="00513E35"/>
    <w:rsid w:val="005144DF"/>
    <w:rsid w:val="00517159"/>
    <w:rsid w:val="00520041"/>
    <w:rsid w:val="00521750"/>
    <w:rsid w:val="0052195D"/>
    <w:rsid w:val="0052257F"/>
    <w:rsid w:val="00522FAD"/>
    <w:rsid w:val="005231A5"/>
    <w:rsid w:val="00524143"/>
    <w:rsid w:val="00524A70"/>
    <w:rsid w:val="005250EA"/>
    <w:rsid w:val="00526F19"/>
    <w:rsid w:val="00527601"/>
    <w:rsid w:val="00527BCB"/>
    <w:rsid w:val="005309F8"/>
    <w:rsid w:val="00531B1B"/>
    <w:rsid w:val="00531F89"/>
    <w:rsid w:val="00532164"/>
    <w:rsid w:val="005336F3"/>
    <w:rsid w:val="00534131"/>
    <w:rsid w:val="00534DE6"/>
    <w:rsid w:val="0053561F"/>
    <w:rsid w:val="00535ADB"/>
    <w:rsid w:val="00537028"/>
    <w:rsid w:val="005414F3"/>
    <w:rsid w:val="005417B9"/>
    <w:rsid w:val="00541E05"/>
    <w:rsid w:val="00541FBE"/>
    <w:rsid w:val="00542749"/>
    <w:rsid w:val="00542EBB"/>
    <w:rsid w:val="0054438D"/>
    <w:rsid w:val="0054462C"/>
    <w:rsid w:val="00545D7A"/>
    <w:rsid w:val="00545EEF"/>
    <w:rsid w:val="00546A67"/>
    <w:rsid w:val="00546F01"/>
    <w:rsid w:val="00546F97"/>
    <w:rsid w:val="00547344"/>
    <w:rsid w:val="005474E1"/>
    <w:rsid w:val="00547C31"/>
    <w:rsid w:val="005509B6"/>
    <w:rsid w:val="00550B69"/>
    <w:rsid w:val="005511B9"/>
    <w:rsid w:val="005511C1"/>
    <w:rsid w:val="00552581"/>
    <w:rsid w:val="005556F2"/>
    <w:rsid w:val="00555FA9"/>
    <w:rsid w:val="00556140"/>
    <w:rsid w:val="00556393"/>
    <w:rsid w:val="0056045D"/>
    <w:rsid w:val="0056083C"/>
    <w:rsid w:val="00560EC5"/>
    <w:rsid w:val="00562263"/>
    <w:rsid w:val="00562547"/>
    <w:rsid w:val="00562F32"/>
    <w:rsid w:val="00563B3D"/>
    <w:rsid w:val="00566408"/>
    <w:rsid w:val="00566AE1"/>
    <w:rsid w:val="00566F2A"/>
    <w:rsid w:val="00570D80"/>
    <w:rsid w:val="005715C9"/>
    <w:rsid w:val="00571C51"/>
    <w:rsid w:val="005726D1"/>
    <w:rsid w:val="00572955"/>
    <w:rsid w:val="00572B22"/>
    <w:rsid w:val="00573147"/>
    <w:rsid w:val="00574EEE"/>
    <w:rsid w:val="00576F49"/>
    <w:rsid w:val="00577ED4"/>
    <w:rsid w:val="00581230"/>
    <w:rsid w:val="00582092"/>
    <w:rsid w:val="005827EA"/>
    <w:rsid w:val="00582E11"/>
    <w:rsid w:val="0058332F"/>
    <w:rsid w:val="00583952"/>
    <w:rsid w:val="00583DF2"/>
    <w:rsid w:val="005841A5"/>
    <w:rsid w:val="00584245"/>
    <w:rsid w:val="00584411"/>
    <w:rsid w:val="00584AC8"/>
    <w:rsid w:val="00584B13"/>
    <w:rsid w:val="00584F71"/>
    <w:rsid w:val="00585D2E"/>
    <w:rsid w:val="005863F9"/>
    <w:rsid w:val="00586D23"/>
    <w:rsid w:val="00586F7A"/>
    <w:rsid w:val="00587315"/>
    <w:rsid w:val="00587AFF"/>
    <w:rsid w:val="0059248E"/>
    <w:rsid w:val="00593327"/>
    <w:rsid w:val="0059358E"/>
    <w:rsid w:val="00593B28"/>
    <w:rsid w:val="00594472"/>
    <w:rsid w:val="005948F2"/>
    <w:rsid w:val="00594B5F"/>
    <w:rsid w:val="005975D4"/>
    <w:rsid w:val="005A0624"/>
    <w:rsid w:val="005A0AC5"/>
    <w:rsid w:val="005A0CD4"/>
    <w:rsid w:val="005A1C71"/>
    <w:rsid w:val="005A2CAA"/>
    <w:rsid w:val="005A2ECF"/>
    <w:rsid w:val="005A418B"/>
    <w:rsid w:val="005A4918"/>
    <w:rsid w:val="005A4D6A"/>
    <w:rsid w:val="005A4DF5"/>
    <w:rsid w:val="005A56B4"/>
    <w:rsid w:val="005A653E"/>
    <w:rsid w:val="005A6EC0"/>
    <w:rsid w:val="005A74E6"/>
    <w:rsid w:val="005A7747"/>
    <w:rsid w:val="005A7A77"/>
    <w:rsid w:val="005A7C04"/>
    <w:rsid w:val="005B03F7"/>
    <w:rsid w:val="005B0CF9"/>
    <w:rsid w:val="005B15CE"/>
    <w:rsid w:val="005B1A90"/>
    <w:rsid w:val="005B1D16"/>
    <w:rsid w:val="005B1F62"/>
    <w:rsid w:val="005B3AA2"/>
    <w:rsid w:val="005B437C"/>
    <w:rsid w:val="005B6870"/>
    <w:rsid w:val="005B6DB4"/>
    <w:rsid w:val="005B6F8C"/>
    <w:rsid w:val="005B7363"/>
    <w:rsid w:val="005B7549"/>
    <w:rsid w:val="005B755F"/>
    <w:rsid w:val="005C0D16"/>
    <w:rsid w:val="005C1A30"/>
    <w:rsid w:val="005C2EA4"/>
    <w:rsid w:val="005C3539"/>
    <w:rsid w:val="005C4263"/>
    <w:rsid w:val="005C4379"/>
    <w:rsid w:val="005C49D4"/>
    <w:rsid w:val="005C5699"/>
    <w:rsid w:val="005C71BB"/>
    <w:rsid w:val="005D10B3"/>
    <w:rsid w:val="005D1359"/>
    <w:rsid w:val="005D1D55"/>
    <w:rsid w:val="005D2908"/>
    <w:rsid w:val="005D2BE2"/>
    <w:rsid w:val="005D3529"/>
    <w:rsid w:val="005D36E5"/>
    <w:rsid w:val="005D4A2E"/>
    <w:rsid w:val="005D4BBD"/>
    <w:rsid w:val="005D4D05"/>
    <w:rsid w:val="005D4F8B"/>
    <w:rsid w:val="005D5CEC"/>
    <w:rsid w:val="005D643B"/>
    <w:rsid w:val="005D6467"/>
    <w:rsid w:val="005D685C"/>
    <w:rsid w:val="005E00BD"/>
    <w:rsid w:val="005E2E1B"/>
    <w:rsid w:val="005E306A"/>
    <w:rsid w:val="005E46B0"/>
    <w:rsid w:val="005E4B97"/>
    <w:rsid w:val="005E54F8"/>
    <w:rsid w:val="005E6DC7"/>
    <w:rsid w:val="005E6EA9"/>
    <w:rsid w:val="005E6FA7"/>
    <w:rsid w:val="005E7499"/>
    <w:rsid w:val="005F0A46"/>
    <w:rsid w:val="005F0AD2"/>
    <w:rsid w:val="005F21EA"/>
    <w:rsid w:val="005F28FD"/>
    <w:rsid w:val="005F2B0D"/>
    <w:rsid w:val="005F50B9"/>
    <w:rsid w:val="005F644A"/>
    <w:rsid w:val="005F6946"/>
    <w:rsid w:val="005F6A36"/>
    <w:rsid w:val="005F71A1"/>
    <w:rsid w:val="006002CF"/>
    <w:rsid w:val="00603524"/>
    <w:rsid w:val="00603952"/>
    <w:rsid w:val="00603A5E"/>
    <w:rsid w:val="00604941"/>
    <w:rsid w:val="00604D97"/>
    <w:rsid w:val="006059A7"/>
    <w:rsid w:val="006109DB"/>
    <w:rsid w:val="00611B48"/>
    <w:rsid w:val="0061227A"/>
    <w:rsid w:val="00612B80"/>
    <w:rsid w:val="0061402C"/>
    <w:rsid w:val="00615473"/>
    <w:rsid w:val="0061636C"/>
    <w:rsid w:val="0061678B"/>
    <w:rsid w:val="00616DC2"/>
    <w:rsid w:val="00620596"/>
    <w:rsid w:val="00621D64"/>
    <w:rsid w:val="00623B75"/>
    <w:rsid w:val="006243B9"/>
    <w:rsid w:val="006259AD"/>
    <w:rsid w:val="00625A7A"/>
    <w:rsid w:val="00625C5A"/>
    <w:rsid w:val="00625F3E"/>
    <w:rsid w:val="0062616C"/>
    <w:rsid w:val="0062628A"/>
    <w:rsid w:val="0062675B"/>
    <w:rsid w:val="006272BD"/>
    <w:rsid w:val="006277C1"/>
    <w:rsid w:val="00631C0E"/>
    <w:rsid w:val="006321B8"/>
    <w:rsid w:val="0063419D"/>
    <w:rsid w:val="00634A21"/>
    <w:rsid w:val="00635558"/>
    <w:rsid w:val="00636A9A"/>
    <w:rsid w:val="00636AF5"/>
    <w:rsid w:val="00637028"/>
    <w:rsid w:val="00637104"/>
    <w:rsid w:val="006406C8"/>
    <w:rsid w:val="0064120B"/>
    <w:rsid w:val="00641714"/>
    <w:rsid w:val="00643E72"/>
    <w:rsid w:val="006444B5"/>
    <w:rsid w:val="00646026"/>
    <w:rsid w:val="00646BBA"/>
    <w:rsid w:val="00647547"/>
    <w:rsid w:val="0065002E"/>
    <w:rsid w:val="00650E6A"/>
    <w:rsid w:val="00652666"/>
    <w:rsid w:val="00652E43"/>
    <w:rsid w:val="00653FF1"/>
    <w:rsid w:val="00654416"/>
    <w:rsid w:val="00654992"/>
    <w:rsid w:val="00655B25"/>
    <w:rsid w:val="0065689C"/>
    <w:rsid w:val="00656990"/>
    <w:rsid w:val="00656B8D"/>
    <w:rsid w:val="00660654"/>
    <w:rsid w:val="00660657"/>
    <w:rsid w:val="00660A40"/>
    <w:rsid w:val="00663058"/>
    <w:rsid w:val="00663A80"/>
    <w:rsid w:val="0066489F"/>
    <w:rsid w:val="006651B9"/>
    <w:rsid w:val="0066607E"/>
    <w:rsid w:val="00667018"/>
    <w:rsid w:val="00667957"/>
    <w:rsid w:val="00670071"/>
    <w:rsid w:val="0067008E"/>
    <w:rsid w:val="00670352"/>
    <w:rsid w:val="00670FEF"/>
    <w:rsid w:val="0067160E"/>
    <w:rsid w:val="00672E8A"/>
    <w:rsid w:val="00673EA2"/>
    <w:rsid w:val="00674583"/>
    <w:rsid w:val="00674648"/>
    <w:rsid w:val="00674764"/>
    <w:rsid w:val="006748B6"/>
    <w:rsid w:val="0067501A"/>
    <w:rsid w:val="00676180"/>
    <w:rsid w:val="00676533"/>
    <w:rsid w:val="006772CC"/>
    <w:rsid w:val="006776C3"/>
    <w:rsid w:val="00677DBC"/>
    <w:rsid w:val="00683FC4"/>
    <w:rsid w:val="00684A37"/>
    <w:rsid w:val="00684AD3"/>
    <w:rsid w:val="00685944"/>
    <w:rsid w:val="00686FE4"/>
    <w:rsid w:val="00687F22"/>
    <w:rsid w:val="0069136B"/>
    <w:rsid w:val="00692033"/>
    <w:rsid w:val="0069222E"/>
    <w:rsid w:val="00692C08"/>
    <w:rsid w:val="006937D1"/>
    <w:rsid w:val="00694C8F"/>
    <w:rsid w:val="00694F7E"/>
    <w:rsid w:val="006954F6"/>
    <w:rsid w:val="006956EC"/>
    <w:rsid w:val="006961D3"/>
    <w:rsid w:val="006962EE"/>
    <w:rsid w:val="0069704D"/>
    <w:rsid w:val="006977DB"/>
    <w:rsid w:val="00697E2F"/>
    <w:rsid w:val="006A027E"/>
    <w:rsid w:val="006A1F97"/>
    <w:rsid w:val="006A1FA3"/>
    <w:rsid w:val="006A2061"/>
    <w:rsid w:val="006A2B82"/>
    <w:rsid w:val="006A3B7C"/>
    <w:rsid w:val="006A642A"/>
    <w:rsid w:val="006A7A9D"/>
    <w:rsid w:val="006B004E"/>
    <w:rsid w:val="006B0BF4"/>
    <w:rsid w:val="006B1D9F"/>
    <w:rsid w:val="006B2A48"/>
    <w:rsid w:val="006B382A"/>
    <w:rsid w:val="006B5BF6"/>
    <w:rsid w:val="006B69E0"/>
    <w:rsid w:val="006B7096"/>
    <w:rsid w:val="006B723E"/>
    <w:rsid w:val="006B7625"/>
    <w:rsid w:val="006B7CA2"/>
    <w:rsid w:val="006B7D0A"/>
    <w:rsid w:val="006C0A84"/>
    <w:rsid w:val="006C155F"/>
    <w:rsid w:val="006C1BFA"/>
    <w:rsid w:val="006C1DF5"/>
    <w:rsid w:val="006C2304"/>
    <w:rsid w:val="006C24B9"/>
    <w:rsid w:val="006C30AD"/>
    <w:rsid w:val="006C32B0"/>
    <w:rsid w:val="006C3421"/>
    <w:rsid w:val="006C3F22"/>
    <w:rsid w:val="006C3FC1"/>
    <w:rsid w:val="006C5E9B"/>
    <w:rsid w:val="006C668E"/>
    <w:rsid w:val="006C7BF9"/>
    <w:rsid w:val="006C7E3F"/>
    <w:rsid w:val="006D00FB"/>
    <w:rsid w:val="006D069C"/>
    <w:rsid w:val="006D0E6B"/>
    <w:rsid w:val="006D15F3"/>
    <w:rsid w:val="006D1B91"/>
    <w:rsid w:val="006D1D44"/>
    <w:rsid w:val="006D2602"/>
    <w:rsid w:val="006D27EA"/>
    <w:rsid w:val="006D29D9"/>
    <w:rsid w:val="006D33BC"/>
    <w:rsid w:val="006D4D21"/>
    <w:rsid w:val="006D5858"/>
    <w:rsid w:val="006D5872"/>
    <w:rsid w:val="006D7077"/>
    <w:rsid w:val="006D72FA"/>
    <w:rsid w:val="006D7323"/>
    <w:rsid w:val="006D7A94"/>
    <w:rsid w:val="006E009F"/>
    <w:rsid w:val="006E089A"/>
    <w:rsid w:val="006E1950"/>
    <w:rsid w:val="006E2AE7"/>
    <w:rsid w:val="006E40C2"/>
    <w:rsid w:val="006E4F57"/>
    <w:rsid w:val="006E51E3"/>
    <w:rsid w:val="006E52CF"/>
    <w:rsid w:val="006E53BC"/>
    <w:rsid w:val="006E55DD"/>
    <w:rsid w:val="006F0EFB"/>
    <w:rsid w:val="006F1A0D"/>
    <w:rsid w:val="006F1EA0"/>
    <w:rsid w:val="006F2751"/>
    <w:rsid w:val="006F29B6"/>
    <w:rsid w:val="006F2FE9"/>
    <w:rsid w:val="006F4A62"/>
    <w:rsid w:val="006F5607"/>
    <w:rsid w:val="006F5F5A"/>
    <w:rsid w:val="006F67D7"/>
    <w:rsid w:val="006F76D1"/>
    <w:rsid w:val="007005BD"/>
    <w:rsid w:val="007022E8"/>
    <w:rsid w:val="0070399E"/>
    <w:rsid w:val="007047AB"/>
    <w:rsid w:val="00704BD4"/>
    <w:rsid w:val="007060DA"/>
    <w:rsid w:val="007063EF"/>
    <w:rsid w:val="00706974"/>
    <w:rsid w:val="00706ABF"/>
    <w:rsid w:val="00706CAA"/>
    <w:rsid w:val="00706F3E"/>
    <w:rsid w:val="00706F55"/>
    <w:rsid w:val="00711304"/>
    <w:rsid w:val="00711D6A"/>
    <w:rsid w:val="00712052"/>
    <w:rsid w:val="007121BA"/>
    <w:rsid w:val="00713E7C"/>
    <w:rsid w:val="0071552F"/>
    <w:rsid w:val="0071621D"/>
    <w:rsid w:val="0071698E"/>
    <w:rsid w:val="007200BB"/>
    <w:rsid w:val="0072109D"/>
    <w:rsid w:val="00721225"/>
    <w:rsid w:val="0072233E"/>
    <w:rsid w:val="007223DA"/>
    <w:rsid w:val="00722E59"/>
    <w:rsid w:val="00723223"/>
    <w:rsid w:val="0072385B"/>
    <w:rsid w:val="007241D1"/>
    <w:rsid w:val="0072432E"/>
    <w:rsid w:val="00725256"/>
    <w:rsid w:val="00725CDE"/>
    <w:rsid w:val="00725DF1"/>
    <w:rsid w:val="007264D9"/>
    <w:rsid w:val="0072754B"/>
    <w:rsid w:val="0072766D"/>
    <w:rsid w:val="00727F04"/>
    <w:rsid w:val="0073096C"/>
    <w:rsid w:val="00730AC6"/>
    <w:rsid w:val="00731FEA"/>
    <w:rsid w:val="00732CA3"/>
    <w:rsid w:val="00732E17"/>
    <w:rsid w:val="00733050"/>
    <w:rsid w:val="007337E6"/>
    <w:rsid w:val="0073470C"/>
    <w:rsid w:val="00735825"/>
    <w:rsid w:val="00735D8E"/>
    <w:rsid w:val="00735E43"/>
    <w:rsid w:val="00735E53"/>
    <w:rsid w:val="007360BC"/>
    <w:rsid w:val="007401D4"/>
    <w:rsid w:val="007405B8"/>
    <w:rsid w:val="00740AF2"/>
    <w:rsid w:val="00740BEA"/>
    <w:rsid w:val="00741DC7"/>
    <w:rsid w:val="00741ECF"/>
    <w:rsid w:val="00743409"/>
    <w:rsid w:val="00743774"/>
    <w:rsid w:val="007437FF"/>
    <w:rsid w:val="00745386"/>
    <w:rsid w:val="007453E0"/>
    <w:rsid w:val="00746B05"/>
    <w:rsid w:val="007474EA"/>
    <w:rsid w:val="0074778E"/>
    <w:rsid w:val="00747C04"/>
    <w:rsid w:val="007514D4"/>
    <w:rsid w:val="0075183C"/>
    <w:rsid w:val="00751B8B"/>
    <w:rsid w:val="00752CFE"/>
    <w:rsid w:val="0075337C"/>
    <w:rsid w:val="007550AA"/>
    <w:rsid w:val="00756215"/>
    <w:rsid w:val="00756788"/>
    <w:rsid w:val="00756CEA"/>
    <w:rsid w:val="007601D1"/>
    <w:rsid w:val="00760E71"/>
    <w:rsid w:val="0076143A"/>
    <w:rsid w:val="007617E3"/>
    <w:rsid w:val="007620E4"/>
    <w:rsid w:val="00762607"/>
    <w:rsid w:val="007626DE"/>
    <w:rsid w:val="00763C34"/>
    <w:rsid w:val="007646CC"/>
    <w:rsid w:val="00766B8D"/>
    <w:rsid w:val="00767520"/>
    <w:rsid w:val="00767A62"/>
    <w:rsid w:val="007703A8"/>
    <w:rsid w:val="00770578"/>
    <w:rsid w:val="00771A55"/>
    <w:rsid w:val="007721B3"/>
    <w:rsid w:val="007722CD"/>
    <w:rsid w:val="007724B5"/>
    <w:rsid w:val="0077261F"/>
    <w:rsid w:val="00772DA2"/>
    <w:rsid w:val="0077314F"/>
    <w:rsid w:val="00773AC8"/>
    <w:rsid w:val="00773C29"/>
    <w:rsid w:val="00773EDC"/>
    <w:rsid w:val="007747A7"/>
    <w:rsid w:val="00774B91"/>
    <w:rsid w:val="00775562"/>
    <w:rsid w:val="00776CAB"/>
    <w:rsid w:val="0077726B"/>
    <w:rsid w:val="00777D39"/>
    <w:rsid w:val="00780222"/>
    <w:rsid w:val="00780957"/>
    <w:rsid w:val="0078214E"/>
    <w:rsid w:val="0078233E"/>
    <w:rsid w:val="00782938"/>
    <w:rsid w:val="00783C13"/>
    <w:rsid w:val="00783CD8"/>
    <w:rsid w:val="0078418C"/>
    <w:rsid w:val="00784509"/>
    <w:rsid w:val="00784758"/>
    <w:rsid w:val="00785E0D"/>
    <w:rsid w:val="00786A7B"/>
    <w:rsid w:val="007879D1"/>
    <w:rsid w:val="00787F7F"/>
    <w:rsid w:val="0079042A"/>
    <w:rsid w:val="00790928"/>
    <w:rsid w:val="00790A36"/>
    <w:rsid w:val="00790FDA"/>
    <w:rsid w:val="00792049"/>
    <w:rsid w:val="00793DBC"/>
    <w:rsid w:val="0079452D"/>
    <w:rsid w:val="00794D4E"/>
    <w:rsid w:val="00795183"/>
    <w:rsid w:val="00795F19"/>
    <w:rsid w:val="00796E47"/>
    <w:rsid w:val="007A0A85"/>
    <w:rsid w:val="007A0E72"/>
    <w:rsid w:val="007A1744"/>
    <w:rsid w:val="007A1E89"/>
    <w:rsid w:val="007A2542"/>
    <w:rsid w:val="007A3937"/>
    <w:rsid w:val="007A3C30"/>
    <w:rsid w:val="007A3DA5"/>
    <w:rsid w:val="007A3EE2"/>
    <w:rsid w:val="007A568D"/>
    <w:rsid w:val="007A5926"/>
    <w:rsid w:val="007A62DE"/>
    <w:rsid w:val="007A6465"/>
    <w:rsid w:val="007A70C2"/>
    <w:rsid w:val="007A7215"/>
    <w:rsid w:val="007A7357"/>
    <w:rsid w:val="007B008E"/>
    <w:rsid w:val="007B01EB"/>
    <w:rsid w:val="007B06C5"/>
    <w:rsid w:val="007B0A88"/>
    <w:rsid w:val="007B27EC"/>
    <w:rsid w:val="007B2A2E"/>
    <w:rsid w:val="007B309A"/>
    <w:rsid w:val="007B46D6"/>
    <w:rsid w:val="007B4F11"/>
    <w:rsid w:val="007B5576"/>
    <w:rsid w:val="007B5581"/>
    <w:rsid w:val="007B57A3"/>
    <w:rsid w:val="007B585C"/>
    <w:rsid w:val="007B6191"/>
    <w:rsid w:val="007B6918"/>
    <w:rsid w:val="007B73A8"/>
    <w:rsid w:val="007B7937"/>
    <w:rsid w:val="007B7A19"/>
    <w:rsid w:val="007C0670"/>
    <w:rsid w:val="007C07D8"/>
    <w:rsid w:val="007C1B84"/>
    <w:rsid w:val="007C1B9C"/>
    <w:rsid w:val="007C28D4"/>
    <w:rsid w:val="007C3F6F"/>
    <w:rsid w:val="007C500F"/>
    <w:rsid w:val="007C5188"/>
    <w:rsid w:val="007C57EB"/>
    <w:rsid w:val="007C69F4"/>
    <w:rsid w:val="007D0961"/>
    <w:rsid w:val="007D0B39"/>
    <w:rsid w:val="007D0D34"/>
    <w:rsid w:val="007D14F5"/>
    <w:rsid w:val="007D1BD4"/>
    <w:rsid w:val="007D2045"/>
    <w:rsid w:val="007D27A1"/>
    <w:rsid w:val="007D2F96"/>
    <w:rsid w:val="007D4519"/>
    <w:rsid w:val="007D5317"/>
    <w:rsid w:val="007D59F8"/>
    <w:rsid w:val="007D6028"/>
    <w:rsid w:val="007D61D1"/>
    <w:rsid w:val="007E0375"/>
    <w:rsid w:val="007E0DEB"/>
    <w:rsid w:val="007E0E16"/>
    <w:rsid w:val="007E2D0D"/>
    <w:rsid w:val="007E468B"/>
    <w:rsid w:val="007E497B"/>
    <w:rsid w:val="007E4A6E"/>
    <w:rsid w:val="007E5CDC"/>
    <w:rsid w:val="007E6942"/>
    <w:rsid w:val="007F1798"/>
    <w:rsid w:val="007F31AF"/>
    <w:rsid w:val="007F3BAC"/>
    <w:rsid w:val="007F5ED4"/>
    <w:rsid w:val="007F617E"/>
    <w:rsid w:val="007F68FA"/>
    <w:rsid w:val="007F6C27"/>
    <w:rsid w:val="007F7007"/>
    <w:rsid w:val="007F7332"/>
    <w:rsid w:val="007F7484"/>
    <w:rsid w:val="007F7569"/>
    <w:rsid w:val="00800977"/>
    <w:rsid w:val="00802418"/>
    <w:rsid w:val="00802422"/>
    <w:rsid w:val="008027FA"/>
    <w:rsid w:val="0080299A"/>
    <w:rsid w:val="0080557B"/>
    <w:rsid w:val="0080656C"/>
    <w:rsid w:val="00806BF8"/>
    <w:rsid w:val="008122D0"/>
    <w:rsid w:val="008123BB"/>
    <w:rsid w:val="0081259A"/>
    <w:rsid w:val="00812CD7"/>
    <w:rsid w:val="00813D19"/>
    <w:rsid w:val="00813D95"/>
    <w:rsid w:val="008142F9"/>
    <w:rsid w:val="00814D5B"/>
    <w:rsid w:val="0081644C"/>
    <w:rsid w:val="00816697"/>
    <w:rsid w:val="008168A6"/>
    <w:rsid w:val="008175D1"/>
    <w:rsid w:val="008210DF"/>
    <w:rsid w:val="00822476"/>
    <w:rsid w:val="0082394B"/>
    <w:rsid w:val="00823BC4"/>
    <w:rsid w:val="00824044"/>
    <w:rsid w:val="00824A2D"/>
    <w:rsid w:val="0082567F"/>
    <w:rsid w:val="00825965"/>
    <w:rsid w:val="00825A30"/>
    <w:rsid w:val="00825C17"/>
    <w:rsid w:val="00825DD6"/>
    <w:rsid w:val="008265C7"/>
    <w:rsid w:val="0082728D"/>
    <w:rsid w:val="008279AA"/>
    <w:rsid w:val="00827B54"/>
    <w:rsid w:val="00827DB5"/>
    <w:rsid w:val="00827F3E"/>
    <w:rsid w:val="00830171"/>
    <w:rsid w:val="00831F2F"/>
    <w:rsid w:val="00832381"/>
    <w:rsid w:val="008324DF"/>
    <w:rsid w:val="0083297B"/>
    <w:rsid w:val="00832A69"/>
    <w:rsid w:val="0083324D"/>
    <w:rsid w:val="008339D8"/>
    <w:rsid w:val="0083420B"/>
    <w:rsid w:val="00834AE4"/>
    <w:rsid w:val="00837232"/>
    <w:rsid w:val="008401D4"/>
    <w:rsid w:val="008417E1"/>
    <w:rsid w:val="00841B0E"/>
    <w:rsid w:val="00841E0E"/>
    <w:rsid w:val="00842244"/>
    <w:rsid w:val="00842BBD"/>
    <w:rsid w:val="008430C5"/>
    <w:rsid w:val="00843BD6"/>
    <w:rsid w:val="00843CEC"/>
    <w:rsid w:val="008453A7"/>
    <w:rsid w:val="008455DA"/>
    <w:rsid w:val="008464A6"/>
    <w:rsid w:val="00847060"/>
    <w:rsid w:val="00847091"/>
    <w:rsid w:val="008470B4"/>
    <w:rsid w:val="00850F25"/>
    <w:rsid w:val="00851734"/>
    <w:rsid w:val="0085224D"/>
    <w:rsid w:val="00854991"/>
    <w:rsid w:val="00854AF4"/>
    <w:rsid w:val="00854B9E"/>
    <w:rsid w:val="008557F5"/>
    <w:rsid w:val="008560FE"/>
    <w:rsid w:val="008571EF"/>
    <w:rsid w:val="008606FD"/>
    <w:rsid w:val="00860ECE"/>
    <w:rsid w:val="00860FB9"/>
    <w:rsid w:val="00864624"/>
    <w:rsid w:val="0086555F"/>
    <w:rsid w:val="008656B3"/>
    <w:rsid w:val="00865946"/>
    <w:rsid w:val="0086679B"/>
    <w:rsid w:val="00866F5C"/>
    <w:rsid w:val="00866F66"/>
    <w:rsid w:val="00870172"/>
    <w:rsid w:val="0087025E"/>
    <w:rsid w:val="0087229A"/>
    <w:rsid w:val="0087246A"/>
    <w:rsid w:val="00873FC4"/>
    <w:rsid w:val="0087403F"/>
    <w:rsid w:val="00874F68"/>
    <w:rsid w:val="00876844"/>
    <w:rsid w:val="00876B13"/>
    <w:rsid w:val="0087733F"/>
    <w:rsid w:val="00877E17"/>
    <w:rsid w:val="0088037E"/>
    <w:rsid w:val="00881D9D"/>
    <w:rsid w:val="00881DC7"/>
    <w:rsid w:val="00882A07"/>
    <w:rsid w:val="00884BC3"/>
    <w:rsid w:val="00884E72"/>
    <w:rsid w:val="00884FF1"/>
    <w:rsid w:val="0088633D"/>
    <w:rsid w:val="008863DE"/>
    <w:rsid w:val="00886771"/>
    <w:rsid w:val="00887365"/>
    <w:rsid w:val="00891754"/>
    <w:rsid w:val="0089185D"/>
    <w:rsid w:val="00892282"/>
    <w:rsid w:val="008922F5"/>
    <w:rsid w:val="00892360"/>
    <w:rsid w:val="00894C82"/>
    <w:rsid w:val="0089503F"/>
    <w:rsid w:val="0089506D"/>
    <w:rsid w:val="00895480"/>
    <w:rsid w:val="00895D0E"/>
    <w:rsid w:val="00896C8D"/>
    <w:rsid w:val="00896EFB"/>
    <w:rsid w:val="008970FD"/>
    <w:rsid w:val="008A191E"/>
    <w:rsid w:val="008A2358"/>
    <w:rsid w:val="008A25BB"/>
    <w:rsid w:val="008A25CF"/>
    <w:rsid w:val="008A30B4"/>
    <w:rsid w:val="008A3993"/>
    <w:rsid w:val="008B42AF"/>
    <w:rsid w:val="008B4AAC"/>
    <w:rsid w:val="008B4F89"/>
    <w:rsid w:val="008B664C"/>
    <w:rsid w:val="008B6FD4"/>
    <w:rsid w:val="008B7E19"/>
    <w:rsid w:val="008C1125"/>
    <w:rsid w:val="008C2A3A"/>
    <w:rsid w:val="008C2D04"/>
    <w:rsid w:val="008C37FB"/>
    <w:rsid w:val="008C3F8E"/>
    <w:rsid w:val="008C4D54"/>
    <w:rsid w:val="008C4E50"/>
    <w:rsid w:val="008C5DFD"/>
    <w:rsid w:val="008C6398"/>
    <w:rsid w:val="008D0429"/>
    <w:rsid w:val="008D243D"/>
    <w:rsid w:val="008D3305"/>
    <w:rsid w:val="008D36F9"/>
    <w:rsid w:val="008D3E0C"/>
    <w:rsid w:val="008D4977"/>
    <w:rsid w:val="008D5089"/>
    <w:rsid w:val="008D5390"/>
    <w:rsid w:val="008D5BE7"/>
    <w:rsid w:val="008D5CD0"/>
    <w:rsid w:val="008D5E30"/>
    <w:rsid w:val="008D638D"/>
    <w:rsid w:val="008D6418"/>
    <w:rsid w:val="008D7DE8"/>
    <w:rsid w:val="008E024E"/>
    <w:rsid w:val="008E17D4"/>
    <w:rsid w:val="008E1A2E"/>
    <w:rsid w:val="008E1BDC"/>
    <w:rsid w:val="008E1E91"/>
    <w:rsid w:val="008E2255"/>
    <w:rsid w:val="008E2636"/>
    <w:rsid w:val="008E2C76"/>
    <w:rsid w:val="008E40F5"/>
    <w:rsid w:val="008E436B"/>
    <w:rsid w:val="008E463A"/>
    <w:rsid w:val="008E48F1"/>
    <w:rsid w:val="008E4DD1"/>
    <w:rsid w:val="008E4F71"/>
    <w:rsid w:val="008E523D"/>
    <w:rsid w:val="008E5521"/>
    <w:rsid w:val="008E567A"/>
    <w:rsid w:val="008E56CB"/>
    <w:rsid w:val="008E570B"/>
    <w:rsid w:val="008E6132"/>
    <w:rsid w:val="008E6540"/>
    <w:rsid w:val="008E7F5E"/>
    <w:rsid w:val="008F0961"/>
    <w:rsid w:val="008F134F"/>
    <w:rsid w:val="008F30DF"/>
    <w:rsid w:val="008F3191"/>
    <w:rsid w:val="008F335A"/>
    <w:rsid w:val="008F3721"/>
    <w:rsid w:val="008F49C2"/>
    <w:rsid w:val="008F4A3D"/>
    <w:rsid w:val="008F54AE"/>
    <w:rsid w:val="008F5EE2"/>
    <w:rsid w:val="008F63FF"/>
    <w:rsid w:val="008F6640"/>
    <w:rsid w:val="008F6805"/>
    <w:rsid w:val="008F6E0E"/>
    <w:rsid w:val="008F7658"/>
    <w:rsid w:val="00900EFC"/>
    <w:rsid w:val="009014AE"/>
    <w:rsid w:val="0090150E"/>
    <w:rsid w:val="009020F5"/>
    <w:rsid w:val="009032AA"/>
    <w:rsid w:val="00903517"/>
    <w:rsid w:val="00904904"/>
    <w:rsid w:val="00904C93"/>
    <w:rsid w:val="00905C79"/>
    <w:rsid w:val="0090612B"/>
    <w:rsid w:val="0090709E"/>
    <w:rsid w:val="009074E8"/>
    <w:rsid w:val="009075DA"/>
    <w:rsid w:val="009105E9"/>
    <w:rsid w:val="00910E03"/>
    <w:rsid w:val="00911AC2"/>
    <w:rsid w:val="00913327"/>
    <w:rsid w:val="00914C53"/>
    <w:rsid w:val="00915897"/>
    <w:rsid w:val="00915DC5"/>
    <w:rsid w:val="009169B6"/>
    <w:rsid w:val="009171F2"/>
    <w:rsid w:val="00917A81"/>
    <w:rsid w:val="00921B64"/>
    <w:rsid w:val="00922360"/>
    <w:rsid w:val="00923C14"/>
    <w:rsid w:val="00924AE1"/>
    <w:rsid w:val="009252EE"/>
    <w:rsid w:val="0092589E"/>
    <w:rsid w:val="00927936"/>
    <w:rsid w:val="00931A17"/>
    <w:rsid w:val="0093216E"/>
    <w:rsid w:val="009324E5"/>
    <w:rsid w:val="00932543"/>
    <w:rsid w:val="009340AB"/>
    <w:rsid w:val="009341F4"/>
    <w:rsid w:val="00934600"/>
    <w:rsid w:val="0093676A"/>
    <w:rsid w:val="009405FC"/>
    <w:rsid w:val="009407D6"/>
    <w:rsid w:val="00942113"/>
    <w:rsid w:val="009422F3"/>
    <w:rsid w:val="00943277"/>
    <w:rsid w:val="00944215"/>
    <w:rsid w:val="009455C9"/>
    <w:rsid w:val="00946913"/>
    <w:rsid w:val="00947203"/>
    <w:rsid w:val="009510DF"/>
    <w:rsid w:val="00951E69"/>
    <w:rsid w:val="00953223"/>
    <w:rsid w:val="009538DE"/>
    <w:rsid w:val="0095520B"/>
    <w:rsid w:val="009552F8"/>
    <w:rsid w:val="0095634D"/>
    <w:rsid w:val="009564ED"/>
    <w:rsid w:val="009567BC"/>
    <w:rsid w:val="00957169"/>
    <w:rsid w:val="009605D0"/>
    <w:rsid w:val="00960A8A"/>
    <w:rsid w:val="00960ED2"/>
    <w:rsid w:val="00960FEB"/>
    <w:rsid w:val="00961A72"/>
    <w:rsid w:val="00962626"/>
    <w:rsid w:val="009638DE"/>
    <w:rsid w:val="00966F6F"/>
    <w:rsid w:val="009679E4"/>
    <w:rsid w:val="00967DE7"/>
    <w:rsid w:val="009714EF"/>
    <w:rsid w:val="0097160B"/>
    <w:rsid w:val="009743CB"/>
    <w:rsid w:val="009743CE"/>
    <w:rsid w:val="00975FF1"/>
    <w:rsid w:val="00976E46"/>
    <w:rsid w:val="009773B6"/>
    <w:rsid w:val="0098077E"/>
    <w:rsid w:val="00980983"/>
    <w:rsid w:val="00981CEC"/>
    <w:rsid w:val="00981F71"/>
    <w:rsid w:val="009820EF"/>
    <w:rsid w:val="0098373B"/>
    <w:rsid w:val="00985986"/>
    <w:rsid w:val="00986068"/>
    <w:rsid w:val="009869C8"/>
    <w:rsid w:val="00986E63"/>
    <w:rsid w:val="009906E2"/>
    <w:rsid w:val="00992506"/>
    <w:rsid w:val="00992CB4"/>
    <w:rsid w:val="00992E90"/>
    <w:rsid w:val="00993E8B"/>
    <w:rsid w:val="00994374"/>
    <w:rsid w:val="00994CCB"/>
    <w:rsid w:val="00994FF1"/>
    <w:rsid w:val="0099563A"/>
    <w:rsid w:val="009956CD"/>
    <w:rsid w:val="009959A3"/>
    <w:rsid w:val="00995FF8"/>
    <w:rsid w:val="009A0A4A"/>
    <w:rsid w:val="009A0C3C"/>
    <w:rsid w:val="009A2F48"/>
    <w:rsid w:val="009A566E"/>
    <w:rsid w:val="009B0429"/>
    <w:rsid w:val="009B16B2"/>
    <w:rsid w:val="009B1B29"/>
    <w:rsid w:val="009B1B7E"/>
    <w:rsid w:val="009B23CE"/>
    <w:rsid w:val="009B35C6"/>
    <w:rsid w:val="009B3BB2"/>
    <w:rsid w:val="009B411B"/>
    <w:rsid w:val="009B5C93"/>
    <w:rsid w:val="009B7291"/>
    <w:rsid w:val="009C08A4"/>
    <w:rsid w:val="009C1C50"/>
    <w:rsid w:val="009C2235"/>
    <w:rsid w:val="009C243A"/>
    <w:rsid w:val="009C36F5"/>
    <w:rsid w:val="009C3BAB"/>
    <w:rsid w:val="009C4DC5"/>
    <w:rsid w:val="009C79C2"/>
    <w:rsid w:val="009C7BD3"/>
    <w:rsid w:val="009C7FAF"/>
    <w:rsid w:val="009D02BA"/>
    <w:rsid w:val="009D039E"/>
    <w:rsid w:val="009D26E0"/>
    <w:rsid w:val="009D34DC"/>
    <w:rsid w:val="009D40C4"/>
    <w:rsid w:val="009D53AF"/>
    <w:rsid w:val="009D56D5"/>
    <w:rsid w:val="009D70B5"/>
    <w:rsid w:val="009D7595"/>
    <w:rsid w:val="009D7601"/>
    <w:rsid w:val="009D7736"/>
    <w:rsid w:val="009E08AB"/>
    <w:rsid w:val="009E0909"/>
    <w:rsid w:val="009E0D14"/>
    <w:rsid w:val="009E1F81"/>
    <w:rsid w:val="009E2037"/>
    <w:rsid w:val="009E29CB"/>
    <w:rsid w:val="009E3130"/>
    <w:rsid w:val="009E3C4A"/>
    <w:rsid w:val="009E420D"/>
    <w:rsid w:val="009E69B1"/>
    <w:rsid w:val="009E6DF4"/>
    <w:rsid w:val="009E6F93"/>
    <w:rsid w:val="009E707D"/>
    <w:rsid w:val="009E773D"/>
    <w:rsid w:val="009E7F43"/>
    <w:rsid w:val="009F15ED"/>
    <w:rsid w:val="009F4B21"/>
    <w:rsid w:val="009F73FB"/>
    <w:rsid w:val="009F781C"/>
    <w:rsid w:val="009F7A8A"/>
    <w:rsid w:val="009F7AAA"/>
    <w:rsid w:val="00A01257"/>
    <w:rsid w:val="00A0208B"/>
    <w:rsid w:val="00A02C2C"/>
    <w:rsid w:val="00A03915"/>
    <w:rsid w:val="00A043E4"/>
    <w:rsid w:val="00A04E7A"/>
    <w:rsid w:val="00A04EBD"/>
    <w:rsid w:val="00A054DE"/>
    <w:rsid w:val="00A0556B"/>
    <w:rsid w:val="00A06803"/>
    <w:rsid w:val="00A06E79"/>
    <w:rsid w:val="00A07C08"/>
    <w:rsid w:val="00A102A8"/>
    <w:rsid w:val="00A11638"/>
    <w:rsid w:val="00A1212A"/>
    <w:rsid w:val="00A15135"/>
    <w:rsid w:val="00A15801"/>
    <w:rsid w:val="00A15FB7"/>
    <w:rsid w:val="00A16411"/>
    <w:rsid w:val="00A1642D"/>
    <w:rsid w:val="00A16794"/>
    <w:rsid w:val="00A20936"/>
    <w:rsid w:val="00A21926"/>
    <w:rsid w:val="00A21F2B"/>
    <w:rsid w:val="00A22374"/>
    <w:rsid w:val="00A22385"/>
    <w:rsid w:val="00A22917"/>
    <w:rsid w:val="00A22DEA"/>
    <w:rsid w:val="00A23598"/>
    <w:rsid w:val="00A23A97"/>
    <w:rsid w:val="00A23D7C"/>
    <w:rsid w:val="00A23F0B"/>
    <w:rsid w:val="00A23F99"/>
    <w:rsid w:val="00A252C0"/>
    <w:rsid w:val="00A26A79"/>
    <w:rsid w:val="00A26C76"/>
    <w:rsid w:val="00A26F2E"/>
    <w:rsid w:val="00A27240"/>
    <w:rsid w:val="00A30E11"/>
    <w:rsid w:val="00A31A9C"/>
    <w:rsid w:val="00A32A5A"/>
    <w:rsid w:val="00A3333B"/>
    <w:rsid w:val="00A3340A"/>
    <w:rsid w:val="00A33AAE"/>
    <w:rsid w:val="00A35119"/>
    <w:rsid w:val="00A35D73"/>
    <w:rsid w:val="00A35F71"/>
    <w:rsid w:val="00A37168"/>
    <w:rsid w:val="00A37BAD"/>
    <w:rsid w:val="00A37D2C"/>
    <w:rsid w:val="00A37E24"/>
    <w:rsid w:val="00A40551"/>
    <w:rsid w:val="00A41452"/>
    <w:rsid w:val="00A41816"/>
    <w:rsid w:val="00A41EBE"/>
    <w:rsid w:val="00A423C2"/>
    <w:rsid w:val="00A43E18"/>
    <w:rsid w:val="00A440C3"/>
    <w:rsid w:val="00A446D1"/>
    <w:rsid w:val="00A44BC9"/>
    <w:rsid w:val="00A45086"/>
    <w:rsid w:val="00A4569A"/>
    <w:rsid w:val="00A459C3"/>
    <w:rsid w:val="00A45D75"/>
    <w:rsid w:val="00A4611D"/>
    <w:rsid w:val="00A47C9D"/>
    <w:rsid w:val="00A508B9"/>
    <w:rsid w:val="00A50B89"/>
    <w:rsid w:val="00A50C18"/>
    <w:rsid w:val="00A511A5"/>
    <w:rsid w:val="00A5281B"/>
    <w:rsid w:val="00A52CB7"/>
    <w:rsid w:val="00A5311A"/>
    <w:rsid w:val="00A53140"/>
    <w:rsid w:val="00A54937"/>
    <w:rsid w:val="00A54ADE"/>
    <w:rsid w:val="00A55EF9"/>
    <w:rsid w:val="00A56057"/>
    <w:rsid w:val="00A5682B"/>
    <w:rsid w:val="00A57A3C"/>
    <w:rsid w:val="00A60A8C"/>
    <w:rsid w:val="00A60C5A"/>
    <w:rsid w:val="00A60ED9"/>
    <w:rsid w:val="00A6232D"/>
    <w:rsid w:val="00A623AB"/>
    <w:rsid w:val="00A62590"/>
    <w:rsid w:val="00A6439C"/>
    <w:rsid w:val="00A64850"/>
    <w:rsid w:val="00A64B10"/>
    <w:rsid w:val="00A65098"/>
    <w:rsid w:val="00A650BC"/>
    <w:rsid w:val="00A657E5"/>
    <w:rsid w:val="00A664E9"/>
    <w:rsid w:val="00A6653F"/>
    <w:rsid w:val="00A70537"/>
    <w:rsid w:val="00A70741"/>
    <w:rsid w:val="00A70905"/>
    <w:rsid w:val="00A70A3F"/>
    <w:rsid w:val="00A71122"/>
    <w:rsid w:val="00A727FC"/>
    <w:rsid w:val="00A736DA"/>
    <w:rsid w:val="00A77464"/>
    <w:rsid w:val="00A7750D"/>
    <w:rsid w:val="00A778A3"/>
    <w:rsid w:val="00A80289"/>
    <w:rsid w:val="00A8325B"/>
    <w:rsid w:val="00A83A8C"/>
    <w:rsid w:val="00A83E46"/>
    <w:rsid w:val="00A83F23"/>
    <w:rsid w:val="00A84BA7"/>
    <w:rsid w:val="00A85606"/>
    <w:rsid w:val="00A8661F"/>
    <w:rsid w:val="00A867D3"/>
    <w:rsid w:val="00A86CCE"/>
    <w:rsid w:val="00A90230"/>
    <w:rsid w:val="00A91FD4"/>
    <w:rsid w:val="00A92B46"/>
    <w:rsid w:val="00A92DE9"/>
    <w:rsid w:val="00A93B2C"/>
    <w:rsid w:val="00A95809"/>
    <w:rsid w:val="00A95F66"/>
    <w:rsid w:val="00A96374"/>
    <w:rsid w:val="00A97030"/>
    <w:rsid w:val="00A97486"/>
    <w:rsid w:val="00A97CAD"/>
    <w:rsid w:val="00A97DB6"/>
    <w:rsid w:val="00AA2B8E"/>
    <w:rsid w:val="00AA438F"/>
    <w:rsid w:val="00AA4690"/>
    <w:rsid w:val="00AA48D9"/>
    <w:rsid w:val="00AA4CB2"/>
    <w:rsid w:val="00AA5885"/>
    <w:rsid w:val="00AB0924"/>
    <w:rsid w:val="00AB0E78"/>
    <w:rsid w:val="00AB0EFA"/>
    <w:rsid w:val="00AB1971"/>
    <w:rsid w:val="00AB1AD9"/>
    <w:rsid w:val="00AB28C2"/>
    <w:rsid w:val="00AB2942"/>
    <w:rsid w:val="00AB3C40"/>
    <w:rsid w:val="00AB4547"/>
    <w:rsid w:val="00AB4655"/>
    <w:rsid w:val="00AB5271"/>
    <w:rsid w:val="00AB5C1E"/>
    <w:rsid w:val="00AB5E7D"/>
    <w:rsid w:val="00AB66CA"/>
    <w:rsid w:val="00AB6B28"/>
    <w:rsid w:val="00AB7016"/>
    <w:rsid w:val="00AC07A7"/>
    <w:rsid w:val="00AC15C2"/>
    <w:rsid w:val="00AC2D75"/>
    <w:rsid w:val="00AC2F51"/>
    <w:rsid w:val="00AC3B9A"/>
    <w:rsid w:val="00AC42DD"/>
    <w:rsid w:val="00AC4F4A"/>
    <w:rsid w:val="00AC543D"/>
    <w:rsid w:val="00AC5E99"/>
    <w:rsid w:val="00AC61C1"/>
    <w:rsid w:val="00AC7116"/>
    <w:rsid w:val="00AC7A4D"/>
    <w:rsid w:val="00AD0DED"/>
    <w:rsid w:val="00AD20D4"/>
    <w:rsid w:val="00AD375D"/>
    <w:rsid w:val="00AD3EC7"/>
    <w:rsid w:val="00AD4588"/>
    <w:rsid w:val="00AD4CC9"/>
    <w:rsid w:val="00AD5253"/>
    <w:rsid w:val="00AD6ED8"/>
    <w:rsid w:val="00AD6F1C"/>
    <w:rsid w:val="00AE0B6D"/>
    <w:rsid w:val="00AE0E82"/>
    <w:rsid w:val="00AE1778"/>
    <w:rsid w:val="00AE1CD1"/>
    <w:rsid w:val="00AE349C"/>
    <w:rsid w:val="00AE34A5"/>
    <w:rsid w:val="00AE433C"/>
    <w:rsid w:val="00AE4543"/>
    <w:rsid w:val="00AF03EE"/>
    <w:rsid w:val="00AF0E3C"/>
    <w:rsid w:val="00AF200D"/>
    <w:rsid w:val="00AF3EC7"/>
    <w:rsid w:val="00AF49BF"/>
    <w:rsid w:val="00AF5059"/>
    <w:rsid w:val="00AF50D3"/>
    <w:rsid w:val="00AF65C7"/>
    <w:rsid w:val="00AF7027"/>
    <w:rsid w:val="00AF7D77"/>
    <w:rsid w:val="00B01C59"/>
    <w:rsid w:val="00B01D6B"/>
    <w:rsid w:val="00B02DDD"/>
    <w:rsid w:val="00B02EE5"/>
    <w:rsid w:val="00B0314F"/>
    <w:rsid w:val="00B03657"/>
    <w:rsid w:val="00B03B16"/>
    <w:rsid w:val="00B04869"/>
    <w:rsid w:val="00B04DB9"/>
    <w:rsid w:val="00B05171"/>
    <w:rsid w:val="00B05824"/>
    <w:rsid w:val="00B06B64"/>
    <w:rsid w:val="00B06F82"/>
    <w:rsid w:val="00B07FA4"/>
    <w:rsid w:val="00B07FE3"/>
    <w:rsid w:val="00B10404"/>
    <w:rsid w:val="00B10C1C"/>
    <w:rsid w:val="00B112FA"/>
    <w:rsid w:val="00B115A8"/>
    <w:rsid w:val="00B121AA"/>
    <w:rsid w:val="00B13AD6"/>
    <w:rsid w:val="00B13CB6"/>
    <w:rsid w:val="00B17320"/>
    <w:rsid w:val="00B175B4"/>
    <w:rsid w:val="00B177D7"/>
    <w:rsid w:val="00B17D5A"/>
    <w:rsid w:val="00B20593"/>
    <w:rsid w:val="00B20F65"/>
    <w:rsid w:val="00B20FEA"/>
    <w:rsid w:val="00B23ABC"/>
    <w:rsid w:val="00B23BA3"/>
    <w:rsid w:val="00B25772"/>
    <w:rsid w:val="00B27766"/>
    <w:rsid w:val="00B31C0A"/>
    <w:rsid w:val="00B32526"/>
    <w:rsid w:val="00B337DE"/>
    <w:rsid w:val="00B33855"/>
    <w:rsid w:val="00B33F2C"/>
    <w:rsid w:val="00B33F8E"/>
    <w:rsid w:val="00B34348"/>
    <w:rsid w:val="00B3437B"/>
    <w:rsid w:val="00B3449E"/>
    <w:rsid w:val="00B34868"/>
    <w:rsid w:val="00B34FA6"/>
    <w:rsid w:val="00B35EE0"/>
    <w:rsid w:val="00B36AEA"/>
    <w:rsid w:val="00B37474"/>
    <w:rsid w:val="00B37750"/>
    <w:rsid w:val="00B37944"/>
    <w:rsid w:val="00B41895"/>
    <w:rsid w:val="00B41CC5"/>
    <w:rsid w:val="00B41F12"/>
    <w:rsid w:val="00B44AFE"/>
    <w:rsid w:val="00B458D7"/>
    <w:rsid w:val="00B45949"/>
    <w:rsid w:val="00B500D0"/>
    <w:rsid w:val="00B53C70"/>
    <w:rsid w:val="00B5410B"/>
    <w:rsid w:val="00B54332"/>
    <w:rsid w:val="00B55062"/>
    <w:rsid w:val="00B55364"/>
    <w:rsid w:val="00B559FB"/>
    <w:rsid w:val="00B55BF8"/>
    <w:rsid w:val="00B566D6"/>
    <w:rsid w:val="00B56D13"/>
    <w:rsid w:val="00B5748E"/>
    <w:rsid w:val="00B57E94"/>
    <w:rsid w:val="00B6073C"/>
    <w:rsid w:val="00B61AB6"/>
    <w:rsid w:val="00B63052"/>
    <w:rsid w:val="00B633F3"/>
    <w:rsid w:val="00B63A59"/>
    <w:rsid w:val="00B64653"/>
    <w:rsid w:val="00B64A90"/>
    <w:rsid w:val="00B64B66"/>
    <w:rsid w:val="00B65A35"/>
    <w:rsid w:val="00B65F59"/>
    <w:rsid w:val="00B660AF"/>
    <w:rsid w:val="00B67203"/>
    <w:rsid w:val="00B6757B"/>
    <w:rsid w:val="00B70638"/>
    <w:rsid w:val="00B719F4"/>
    <w:rsid w:val="00B722B6"/>
    <w:rsid w:val="00B72FD5"/>
    <w:rsid w:val="00B734B6"/>
    <w:rsid w:val="00B73B32"/>
    <w:rsid w:val="00B74239"/>
    <w:rsid w:val="00B74CB3"/>
    <w:rsid w:val="00B74D91"/>
    <w:rsid w:val="00B75EDE"/>
    <w:rsid w:val="00B76CE4"/>
    <w:rsid w:val="00B7730F"/>
    <w:rsid w:val="00B77C52"/>
    <w:rsid w:val="00B77CFD"/>
    <w:rsid w:val="00B77DC4"/>
    <w:rsid w:val="00B80239"/>
    <w:rsid w:val="00B82281"/>
    <w:rsid w:val="00B82AAD"/>
    <w:rsid w:val="00B832A9"/>
    <w:rsid w:val="00B8363E"/>
    <w:rsid w:val="00B850E2"/>
    <w:rsid w:val="00B85182"/>
    <w:rsid w:val="00B8607A"/>
    <w:rsid w:val="00B86B84"/>
    <w:rsid w:val="00B90D60"/>
    <w:rsid w:val="00B91EB3"/>
    <w:rsid w:val="00B92495"/>
    <w:rsid w:val="00B9340D"/>
    <w:rsid w:val="00B95041"/>
    <w:rsid w:val="00B95480"/>
    <w:rsid w:val="00B958E8"/>
    <w:rsid w:val="00B959CA"/>
    <w:rsid w:val="00B95A35"/>
    <w:rsid w:val="00B95C9D"/>
    <w:rsid w:val="00B95F55"/>
    <w:rsid w:val="00B96330"/>
    <w:rsid w:val="00B96AB2"/>
    <w:rsid w:val="00BA0740"/>
    <w:rsid w:val="00BA077B"/>
    <w:rsid w:val="00BA10A3"/>
    <w:rsid w:val="00BA1E4E"/>
    <w:rsid w:val="00BA2D02"/>
    <w:rsid w:val="00BA3937"/>
    <w:rsid w:val="00BA4BDD"/>
    <w:rsid w:val="00BA5FD9"/>
    <w:rsid w:val="00BA60BE"/>
    <w:rsid w:val="00BA6138"/>
    <w:rsid w:val="00BA647B"/>
    <w:rsid w:val="00BA6524"/>
    <w:rsid w:val="00BA6F57"/>
    <w:rsid w:val="00BA7030"/>
    <w:rsid w:val="00BA773D"/>
    <w:rsid w:val="00BA7AAA"/>
    <w:rsid w:val="00BA7DC3"/>
    <w:rsid w:val="00BA7E9F"/>
    <w:rsid w:val="00BB08EA"/>
    <w:rsid w:val="00BB0F2D"/>
    <w:rsid w:val="00BB12BD"/>
    <w:rsid w:val="00BB1715"/>
    <w:rsid w:val="00BB17CF"/>
    <w:rsid w:val="00BB1945"/>
    <w:rsid w:val="00BB19FF"/>
    <w:rsid w:val="00BB1D72"/>
    <w:rsid w:val="00BB2B5B"/>
    <w:rsid w:val="00BB2BE9"/>
    <w:rsid w:val="00BB3A35"/>
    <w:rsid w:val="00BB3B30"/>
    <w:rsid w:val="00BB4319"/>
    <w:rsid w:val="00BB4B16"/>
    <w:rsid w:val="00BB5335"/>
    <w:rsid w:val="00BB633B"/>
    <w:rsid w:val="00BC075B"/>
    <w:rsid w:val="00BC1ECC"/>
    <w:rsid w:val="00BC25FD"/>
    <w:rsid w:val="00BC2F83"/>
    <w:rsid w:val="00BC301A"/>
    <w:rsid w:val="00BC3730"/>
    <w:rsid w:val="00BC49BD"/>
    <w:rsid w:val="00BC4FDE"/>
    <w:rsid w:val="00BC5F14"/>
    <w:rsid w:val="00BC7C5A"/>
    <w:rsid w:val="00BD07A9"/>
    <w:rsid w:val="00BD0CEE"/>
    <w:rsid w:val="00BD10D9"/>
    <w:rsid w:val="00BD10F9"/>
    <w:rsid w:val="00BD1595"/>
    <w:rsid w:val="00BD368E"/>
    <w:rsid w:val="00BD3F68"/>
    <w:rsid w:val="00BD4FCB"/>
    <w:rsid w:val="00BD5E35"/>
    <w:rsid w:val="00BD6106"/>
    <w:rsid w:val="00BD62DA"/>
    <w:rsid w:val="00BD653D"/>
    <w:rsid w:val="00BD6B8C"/>
    <w:rsid w:val="00BD77AF"/>
    <w:rsid w:val="00BD77E2"/>
    <w:rsid w:val="00BE0F65"/>
    <w:rsid w:val="00BE1177"/>
    <w:rsid w:val="00BE636C"/>
    <w:rsid w:val="00BE6BE3"/>
    <w:rsid w:val="00BF02C0"/>
    <w:rsid w:val="00BF06ED"/>
    <w:rsid w:val="00BF162A"/>
    <w:rsid w:val="00BF2851"/>
    <w:rsid w:val="00BF3877"/>
    <w:rsid w:val="00BF3B44"/>
    <w:rsid w:val="00BF4474"/>
    <w:rsid w:val="00BF4546"/>
    <w:rsid w:val="00BF4A96"/>
    <w:rsid w:val="00C00738"/>
    <w:rsid w:val="00C01812"/>
    <w:rsid w:val="00C01D11"/>
    <w:rsid w:val="00C025C9"/>
    <w:rsid w:val="00C039C3"/>
    <w:rsid w:val="00C03B82"/>
    <w:rsid w:val="00C03CA8"/>
    <w:rsid w:val="00C03D99"/>
    <w:rsid w:val="00C04D2C"/>
    <w:rsid w:val="00C0504A"/>
    <w:rsid w:val="00C05A05"/>
    <w:rsid w:val="00C05A5C"/>
    <w:rsid w:val="00C05B50"/>
    <w:rsid w:val="00C07704"/>
    <w:rsid w:val="00C10181"/>
    <w:rsid w:val="00C106C9"/>
    <w:rsid w:val="00C11A12"/>
    <w:rsid w:val="00C12219"/>
    <w:rsid w:val="00C122E8"/>
    <w:rsid w:val="00C12F1C"/>
    <w:rsid w:val="00C137B9"/>
    <w:rsid w:val="00C14467"/>
    <w:rsid w:val="00C1499C"/>
    <w:rsid w:val="00C1603C"/>
    <w:rsid w:val="00C16EAB"/>
    <w:rsid w:val="00C1790F"/>
    <w:rsid w:val="00C17CE9"/>
    <w:rsid w:val="00C17D00"/>
    <w:rsid w:val="00C20EF2"/>
    <w:rsid w:val="00C20F60"/>
    <w:rsid w:val="00C21061"/>
    <w:rsid w:val="00C21194"/>
    <w:rsid w:val="00C214D1"/>
    <w:rsid w:val="00C21AD4"/>
    <w:rsid w:val="00C21D4C"/>
    <w:rsid w:val="00C226DE"/>
    <w:rsid w:val="00C22FA2"/>
    <w:rsid w:val="00C2362C"/>
    <w:rsid w:val="00C238D5"/>
    <w:rsid w:val="00C2453B"/>
    <w:rsid w:val="00C24BCE"/>
    <w:rsid w:val="00C25A86"/>
    <w:rsid w:val="00C25E03"/>
    <w:rsid w:val="00C2611A"/>
    <w:rsid w:val="00C26477"/>
    <w:rsid w:val="00C304F0"/>
    <w:rsid w:val="00C30ADE"/>
    <w:rsid w:val="00C32284"/>
    <w:rsid w:val="00C32A24"/>
    <w:rsid w:val="00C32C0A"/>
    <w:rsid w:val="00C32CA3"/>
    <w:rsid w:val="00C33875"/>
    <w:rsid w:val="00C346A3"/>
    <w:rsid w:val="00C347D0"/>
    <w:rsid w:val="00C3525E"/>
    <w:rsid w:val="00C3677C"/>
    <w:rsid w:val="00C369F3"/>
    <w:rsid w:val="00C36D22"/>
    <w:rsid w:val="00C37811"/>
    <w:rsid w:val="00C3786B"/>
    <w:rsid w:val="00C40AAA"/>
    <w:rsid w:val="00C4245F"/>
    <w:rsid w:val="00C4299A"/>
    <w:rsid w:val="00C42D16"/>
    <w:rsid w:val="00C42D89"/>
    <w:rsid w:val="00C43416"/>
    <w:rsid w:val="00C43C5F"/>
    <w:rsid w:val="00C43FE7"/>
    <w:rsid w:val="00C44201"/>
    <w:rsid w:val="00C447A0"/>
    <w:rsid w:val="00C45E53"/>
    <w:rsid w:val="00C462AE"/>
    <w:rsid w:val="00C474E8"/>
    <w:rsid w:val="00C4755A"/>
    <w:rsid w:val="00C47741"/>
    <w:rsid w:val="00C50188"/>
    <w:rsid w:val="00C50818"/>
    <w:rsid w:val="00C5269E"/>
    <w:rsid w:val="00C526AE"/>
    <w:rsid w:val="00C52733"/>
    <w:rsid w:val="00C5524C"/>
    <w:rsid w:val="00C57357"/>
    <w:rsid w:val="00C611ED"/>
    <w:rsid w:val="00C61931"/>
    <w:rsid w:val="00C637D2"/>
    <w:rsid w:val="00C637E9"/>
    <w:rsid w:val="00C63A36"/>
    <w:rsid w:val="00C63D48"/>
    <w:rsid w:val="00C64EF7"/>
    <w:rsid w:val="00C660FF"/>
    <w:rsid w:val="00C666C9"/>
    <w:rsid w:val="00C66CC1"/>
    <w:rsid w:val="00C672D4"/>
    <w:rsid w:val="00C676DB"/>
    <w:rsid w:val="00C67AE0"/>
    <w:rsid w:val="00C67BD3"/>
    <w:rsid w:val="00C703B5"/>
    <w:rsid w:val="00C72AF7"/>
    <w:rsid w:val="00C730D7"/>
    <w:rsid w:val="00C731E3"/>
    <w:rsid w:val="00C74F21"/>
    <w:rsid w:val="00C7637A"/>
    <w:rsid w:val="00C765AE"/>
    <w:rsid w:val="00C766AA"/>
    <w:rsid w:val="00C76D4E"/>
    <w:rsid w:val="00C770A9"/>
    <w:rsid w:val="00C8054B"/>
    <w:rsid w:val="00C805B9"/>
    <w:rsid w:val="00C8066B"/>
    <w:rsid w:val="00C80D96"/>
    <w:rsid w:val="00C813F3"/>
    <w:rsid w:val="00C81558"/>
    <w:rsid w:val="00C81D8D"/>
    <w:rsid w:val="00C81EFA"/>
    <w:rsid w:val="00C82691"/>
    <w:rsid w:val="00C82E2C"/>
    <w:rsid w:val="00C83548"/>
    <w:rsid w:val="00C83583"/>
    <w:rsid w:val="00C83BF4"/>
    <w:rsid w:val="00C840B4"/>
    <w:rsid w:val="00C85256"/>
    <w:rsid w:val="00C8539C"/>
    <w:rsid w:val="00C85650"/>
    <w:rsid w:val="00C8583B"/>
    <w:rsid w:val="00C85B37"/>
    <w:rsid w:val="00C85CB2"/>
    <w:rsid w:val="00C85E57"/>
    <w:rsid w:val="00C86CD2"/>
    <w:rsid w:val="00C86F49"/>
    <w:rsid w:val="00C877B8"/>
    <w:rsid w:val="00C87855"/>
    <w:rsid w:val="00C910EC"/>
    <w:rsid w:val="00C9177D"/>
    <w:rsid w:val="00C9220E"/>
    <w:rsid w:val="00C92E95"/>
    <w:rsid w:val="00C94EFE"/>
    <w:rsid w:val="00C957CA"/>
    <w:rsid w:val="00C959EB"/>
    <w:rsid w:val="00C95D21"/>
    <w:rsid w:val="00CA04D9"/>
    <w:rsid w:val="00CA16E1"/>
    <w:rsid w:val="00CA236A"/>
    <w:rsid w:val="00CA28AA"/>
    <w:rsid w:val="00CA3005"/>
    <w:rsid w:val="00CA3185"/>
    <w:rsid w:val="00CA3500"/>
    <w:rsid w:val="00CA3552"/>
    <w:rsid w:val="00CA3EB6"/>
    <w:rsid w:val="00CA3EC3"/>
    <w:rsid w:val="00CA3FAC"/>
    <w:rsid w:val="00CA4C67"/>
    <w:rsid w:val="00CA5656"/>
    <w:rsid w:val="00CA567B"/>
    <w:rsid w:val="00CA57DE"/>
    <w:rsid w:val="00CA65FD"/>
    <w:rsid w:val="00CA6A5F"/>
    <w:rsid w:val="00CA70C0"/>
    <w:rsid w:val="00CA7CC0"/>
    <w:rsid w:val="00CA7F20"/>
    <w:rsid w:val="00CB0718"/>
    <w:rsid w:val="00CB0CF8"/>
    <w:rsid w:val="00CB1478"/>
    <w:rsid w:val="00CB1CD3"/>
    <w:rsid w:val="00CB2780"/>
    <w:rsid w:val="00CB28E6"/>
    <w:rsid w:val="00CB2BE2"/>
    <w:rsid w:val="00CB3B5B"/>
    <w:rsid w:val="00CB3E55"/>
    <w:rsid w:val="00CB46AD"/>
    <w:rsid w:val="00CB5060"/>
    <w:rsid w:val="00CB5C9A"/>
    <w:rsid w:val="00CB65F2"/>
    <w:rsid w:val="00CB6AF4"/>
    <w:rsid w:val="00CB73A3"/>
    <w:rsid w:val="00CC0B52"/>
    <w:rsid w:val="00CC0C96"/>
    <w:rsid w:val="00CC230E"/>
    <w:rsid w:val="00CC2F65"/>
    <w:rsid w:val="00CC3058"/>
    <w:rsid w:val="00CC3246"/>
    <w:rsid w:val="00CC4B00"/>
    <w:rsid w:val="00CC59D5"/>
    <w:rsid w:val="00CC5C1F"/>
    <w:rsid w:val="00CC6248"/>
    <w:rsid w:val="00CC75E5"/>
    <w:rsid w:val="00CC7786"/>
    <w:rsid w:val="00CC79CE"/>
    <w:rsid w:val="00CC7F63"/>
    <w:rsid w:val="00CD0D5D"/>
    <w:rsid w:val="00CD1107"/>
    <w:rsid w:val="00CD1B12"/>
    <w:rsid w:val="00CD2E92"/>
    <w:rsid w:val="00CD327B"/>
    <w:rsid w:val="00CD5A3C"/>
    <w:rsid w:val="00CD5FBA"/>
    <w:rsid w:val="00CD6133"/>
    <w:rsid w:val="00CD687F"/>
    <w:rsid w:val="00CD7D97"/>
    <w:rsid w:val="00CE0423"/>
    <w:rsid w:val="00CE07A6"/>
    <w:rsid w:val="00CE0CEF"/>
    <w:rsid w:val="00CE0EAB"/>
    <w:rsid w:val="00CE1AA0"/>
    <w:rsid w:val="00CE22ED"/>
    <w:rsid w:val="00CE2959"/>
    <w:rsid w:val="00CE2F55"/>
    <w:rsid w:val="00CE2F8C"/>
    <w:rsid w:val="00CE4BF1"/>
    <w:rsid w:val="00CE54A2"/>
    <w:rsid w:val="00CE5760"/>
    <w:rsid w:val="00CE598D"/>
    <w:rsid w:val="00CE5FB7"/>
    <w:rsid w:val="00CE6776"/>
    <w:rsid w:val="00CE73CB"/>
    <w:rsid w:val="00CE79E7"/>
    <w:rsid w:val="00CE7C4F"/>
    <w:rsid w:val="00CE7F2D"/>
    <w:rsid w:val="00CF0C47"/>
    <w:rsid w:val="00CF102C"/>
    <w:rsid w:val="00CF1923"/>
    <w:rsid w:val="00CF2398"/>
    <w:rsid w:val="00CF37E3"/>
    <w:rsid w:val="00CF780A"/>
    <w:rsid w:val="00CF7F19"/>
    <w:rsid w:val="00D002C8"/>
    <w:rsid w:val="00D008E7"/>
    <w:rsid w:val="00D00A32"/>
    <w:rsid w:val="00D00E02"/>
    <w:rsid w:val="00D02AD2"/>
    <w:rsid w:val="00D02D70"/>
    <w:rsid w:val="00D0361C"/>
    <w:rsid w:val="00D03730"/>
    <w:rsid w:val="00D03D0E"/>
    <w:rsid w:val="00D03F09"/>
    <w:rsid w:val="00D050EF"/>
    <w:rsid w:val="00D057B8"/>
    <w:rsid w:val="00D05887"/>
    <w:rsid w:val="00D07807"/>
    <w:rsid w:val="00D07AB5"/>
    <w:rsid w:val="00D07D2F"/>
    <w:rsid w:val="00D1102D"/>
    <w:rsid w:val="00D111A1"/>
    <w:rsid w:val="00D11A4A"/>
    <w:rsid w:val="00D11B0B"/>
    <w:rsid w:val="00D1289D"/>
    <w:rsid w:val="00D12A02"/>
    <w:rsid w:val="00D12F56"/>
    <w:rsid w:val="00D1319D"/>
    <w:rsid w:val="00D14A57"/>
    <w:rsid w:val="00D14BA7"/>
    <w:rsid w:val="00D15357"/>
    <w:rsid w:val="00D16640"/>
    <w:rsid w:val="00D16B2E"/>
    <w:rsid w:val="00D17366"/>
    <w:rsid w:val="00D174EE"/>
    <w:rsid w:val="00D201A8"/>
    <w:rsid w:val="00D20839"/>
    <w:rsid w:val="00D2089E"/>
    <w:rsid w:val="00D2168E"/>
    <w:rsid w:val="00D21864"/>
    <w:rsid w:val="00D2198C"/>
    <w:rsid w:val="00D21AAE"/>
    <w:rsid w:val="00D223F0"/>
    <w:rsid w:val="00D23001"/>
    <w:rsid w:val="00D23498"/>
    <w:rsid w:val="00D26300"/>
    <w:rsid w:val="00D264B8"/>
    <w:rsid w:val="00D27585"/>
    <w:rsid w:val="00D2782D"/>
    <w:rsid w:val="00D31589"/>
    <w:rsid w:val="00D32703"/>
    <w:rsid w:val="00D32DF2"/>
    <w:rsid w:val="00D32ECA"/>
    <w:rsid w:val="00D33153"/>
    <w:rsid w:val="00D33C26"/>
    <w:rsid w:val="00D33F3E"/>
    <w:rsid w:val="00D34AB0"/>
    <w:rsid w:val="00D35F65"/>
    <w:rsid w:val="00D36C78"/>
    <w:rsid w:val="00D37471"/>
    <w:rsid w:val="00D37F3E"/>
    <w:rsid w:val="00D40542"/>
    <w:rsid w:val="00D4088A"/>
    <w:rsid w:val="00D41175"/>
    <w:rsid w:val="00D42809"/>
    <w:rsid w:val="00D42812"/>
    <w:rsid w:val="00D474FD"/>
    <w:rsid w:val="00D477B7"/>
    <w:rsid w:val="00D47BD6"/>
    <w:rsid w:val="00D5063E"/>
    <w:rsid w:val="00D50D3A"/>
    <w:rsid w:val="00D5365C"/>
    <w:rsid w:val="00D53767"/>
    <w:rsid w:val="00D54843"/>
    <w:rsid w:val="00D551CF"/>
    <w:rsid w:val="00D558DD"/>
    <w:rsid w:val="00D56FD0"/>
    <w:rsid w:val="00D60259"/>
    <w:rsid w:val="00D607A2"/>
    <w:rsid w:val="00D610FD"/>
    <w:rsid w:val="00D61387"/>
    <w:rsid w:val="00D622B5"/>
    <w:rsid w:val="00D6496F"/>
    <w:rsid w:val="00D64DAA"/>
    <w:rsid w:val="00D651C5"/>
    <w:rsid w:val="00D658E0"/>
    <w:rsid w:val="00D658EA"/>
    <w:rsid w:val="00D66334"/>
    <w:rsid w:val="00D663A0"/>
    <w:rsid w:val="00D66B53"/>
    <w:rsid w:val="00D66C12"/>
    <w:rsid w:val="00D66CFD"/>
    <w:rsid w:val="00D67911"/>
    <w:rsid w:val="00D704C9"/>
    <w:rsid w:val="00D714C5"/>
    <w:rsid w:val="00D728C6"/>
    <w:rsid w:val="00D737C5"/>
    <w:rsid w:val="00D7459F"/>
    <w:rsid w:val="00D7573E"/>
    <w:rsid w:val="00D75F56"/>
    <w:rsid w:val="00D76863"/>
    <w:rsid w:val="00D76D92"/>
    <w:rsid w:val="00D812BB"/>
    <w:rsid w:val="00D81F01"/>
    <w:rsid w:val="00D83780"/>
    <w:rsid w:val="00D83BB7"/>
    <w:rsid w:val="00D8412A"/>
    <w:rsid w:val="00D860EF"/>
    <w:rsid w:val="00D866AF"/>
    <w:rsid w:val="00D86B33"/>
    <w:rsid w:val="00D879E6"/>
    <w:rsid w:val="00D87D61"/>
    <w:rsid w:val="00D87F95"/>
    <w:rsid w:val="00D87FFD"/>
    <w:rsid w:val="00D90C69"/>
    <w:rsid w:val="00D90FE5"/>
    <w:rsid w:val="00D91CAB"/>
    <w:rsid w:val="00D925F4"/>
    <w:rsid w:val="00D92852"/>
    <w:rsid w:val="00D92D36"/>
    <w:rsid w:val="00D92D3C"/>
    <w:rsid w:val="00D92D49"/>
    <w:rsid w:val="00D95146"/>
    <w:rsid w:val="00D954D2"/>
    <w:rsid w:val="00D96152"/>
    <w:rsid w:val="00D96AF9"/>
    <w:rsid w:val="00DA05FA"/>
    <w:rsid w:val="00DA0E84"/>
    <w:rsid w:val="00DA19F4"/>
    <w:rsid w:val="00DA2323"/>
    <w:rsid w:val="00DA336E"/>
    <w:rsid w:val="00DA4233"/>
    <w:rsid w:val="00DA448D"/>
    <w:rsid w:val="00DA473E"/>
    <w:rsid w:val="00DA4A00"/>
    <w:rsid w:val="00DA4C3F"/>
    <w:rsid w:val="00DA4F0B"/>
    <w:rsid w:val="00DA50D5"/>
    <w:rsid w:val="00DA54C8"/>
    <w:rsid w:val="00DA570A"/>
    <w:rsid w:val="00DA77B6"/>
    <w:rsid w:val="00DB041D"/>
    <w:rsid w:val="00DB1507"/>
    <w:rsid w:val="00DB18F6"/>
    <w:rsid w:val="00DB2493"/>
    <w:rsid w:val="00DB36AA"/>
    <w:rsid w:val="00DB4E62"/>
    <w:rsid w:val="00DB539B"/>
    <w:rsid w:val="00DB6522"/>
    <w:rsid w:val="00DB67ED"/>
    <w:rsid w:val="00DB7E1B"/>
    <w:rsid w:val="00DC0B4D"/>
    <w:rsid w:val="00DC121F"/>
    <w:rsid w:val="00DC1624"/>
    <w:rsid w:val="00DC1708"/>
    <w:rsid w:val="00DC1CE3"/>
    <w:rsid w:val="00DC1EAE"/>
    <w:rsid w:val="00DC499D"/>
    <w:rsid w:val="00DC523F"/>
    <w:rsid w:val="00DC588B"/>
    <w:rsid w:val="00DC5AD1"/>
    <w:rsid w:val="00DC5C95"/>
    <w:rsid w:val="00DC605E"/>
    <w:rsid w:val="00DC6F81"/>
    <w:rsid w:val="00DD0B66"/>
    <w:rsid w:val="00DD0C56"/>
    <w:rsid w:val="00DD1C91"/>
    <w:rsid w:val="00DD1E82"/>
    <w:rsid w:val="00DD23C3"/>
    <w:rsid w:val="00DD2C27"/>
    <w:rsid w:val="00DD3796"/>
    <w:rsid w:val="00DD380D"/>
    <w:rsid w:val="00DD3FCB"/>
    <w:rsid w:val="00DD495F"/>
    <w:rsid w:val="00DD50CB"/>
    <w:rsid w:val="00DD62F7"/>
    <w:rsid w:val="00DD6316"/>
    <w:rsid w:val="00DD75E7"/>
    <w:rsid w:val="00DE0654"/>
    <w:rsid w:val="00DE068B"/>
    <w:rsid w:val="00DE077C"/>
    <w:rsid w:val="00DE0B17"/>
    <w:rsid w:val="00DE19DD"/>
    <w:rsid w:val="00DE1AC2"/>
    <w:rsid w:val="00DE1D60"/>
    <w:rsid w:val="00DE35BA"/>
    <w:rsid w:val="00DE3E0E"/>
    <w:rsid w:val="00DE43AA"/>
    <w:rsid w:val="00DE43DF"/>
    <w:rsid w:val="00DE44FC"/>
    <w:rsid w:val="00DE7BA6"/>
    <w:rsid w:val="00DF031B"/>
    <w:rsid w:val="00DF04AD"/>
    <w:rsid w:val="00DF07CA"/>
    <w:rsid w:val="00DF09ED"/>
    <w:rsid w:val="00DF1392"/>
    <w:rsid w:val="00DF1BBD"/>
    <w:rsid w:val="00DF2743"/>
    <w:rsid w:val="00DF2749"/>
    <w:rsid w:val="00DF2B53"/>
    <w:rsid w:val="00DF34D3"/>
    <w:rsid w:val="00DF4FD3"/>
    <w:rsid w:val="00DF6763"/>
    <w:rsid w:val="00E002F7"/>
    <w:rsid w:val="00E003ED"/>
    <w:rsid w:val="00E00E5A"/>
    <w:rsid w:val="00E01539"/>
    <w:rsid w:val="00E0170F"/>
    <w:rsid w:val="00E03CC1"/>
    <w:rsid w:val="00E03F32"/>
    <w:rsid w:val="00E052C4"/>
    <w:rsid w:val="00E0568F"/>
    <w:rsid w:val="00E05E6C"/>
    <w:rsid w:val="00E05F8E"/>
    <w:rsid w:val="00E06CC9"/>
    <w:rsid w:val="00E0757F"/>
    <w:rsid w:val="00E077FF"/>
    <w:rsid w:val="00E11D9A"/>
    <w:rsid w:val="00E13FD5"/>
    <w:rsid w:val="00E14133"/>
    <w:rsid w:val="00E14230"/>
    <w:rsid w:val="00E14EE3"/>
    <w:rsid w:val="00E15435"/>
    <w:rsid w:val="00E15438"/>
    <w:rsid w:val="00E15681"/>
    <w:rsid w:val="00E16181"/>
    <w:rsid w:val="00E161B5"/>
    <w:rsid w:val="00E1623C"/>
    <w:rsid w:val="00E16DEF"/>
    <w:rsid w:val="00E173C2"/>
    <w:rsid w:val="00E17A4B"/>
    <w:rsid w:val="00E17B26"/>
    <w:rsid w:val="00E2146F"/>
    <w:rsid w:val="00E2153E"/>
    <w:rsid w:val="00E21E49"/>
    <w:rsid w:val="00E22328"/>
    <w:rsid w:val="00E223CF"/>
    <w:rsid w:val="00E22707"/>
    <w:rsid w:val="00E23671"/>
    <w:rsid w:val="00E256B2"/>
    <w:rsid w:val="00E257E2"/>
    <w:rsid w:val="00E26006"/>
    <w:rsid w:val="00E26CEB"/>
    <w:rsid w:val="00E27C54"/>
    <w:rsid w:val="00E30193"/>
    <w:rsid w:val="00E3021C"/>
    <w:rsid w:val="00E31201"/>
    <w:rsid w:val="00E31A50"/>
    <w:rsid w:val="00E32AFC"/>
    <w:rsid w:val="00E346BB"/>
    <w:rsid w:val="00E34E5F"/>
    <w:rsid w:val="00E36B33"/>
    <w:rsid w:val="00E36CDD"/>
    <w:rsid w:val="00E40404"/>
    <w:rsid w:val="00E40BF8"/>
    <w:rsid w:val="00E41379"/>
    <w:rsid w:val="00E42A93"/>
    <w:rsid w:val="00E43913"/>
    <w:rsid w:val="00E43F18"/>
    <w:rsid w:val="00E440F3"/>
    <w:rsid w:val="00E44A97"/>
    <w:rsid w:val="00E44D08"/>
    <w:rsid w:val="00E44EEB"/>
    <w:rsid w:val="00E4557C"/>
    <w:rsid w:val="00E4698C"/>
    <w:rsid w:val="00E5062B"/>
    <w:rsid w:val="00E50A2B"/>
    <w:rsid w:val="00E50A4A"/>
    <w:rsid w:val="00E50B10"/>
    <w:rsid w:val="00E51A69"/>
    <w:rsid w:val="00E51CF1"/>
    <w:rsid w:val="00E51FBF"/>
    <w:rsid w:val="00E531EF"/>
    <w:rsid w:val="00E53C55"/>
    <w:rsid w:val="00E53E60"/>
    <w:rsid w:val="00E5465F"/>
    <w:rsid w:val="00E54DE8"/>
    <w:rsid w:val="00E554AB"/>
    <w:rsid w:val="00E560A4"/>
    <w:rsid w:val="00E57E11"/>
    <w:rsid w:val="00E57EB6"/>
    <w:rsid w:val="00E60217"/>
    <w:rsid w:val="00E6074D"/>
    <w:rsid w:val="00E609F0"/>
    <w:rsid w:val="00E61FA7"/>
    <w:rsid w:val="00E628BC"/>
    <w:rsid w:val="00E62E03"/>
    <w:rsid w:val="00E63007"/>
    <w:rsid w:val="00E6558B"/>
    <w:rsid w:val="00E677C3"/>
    <w:rsid w:val="00E67C5F"/>
    <w:rsid w:val="00E701D3"/>
    <w:rsid w:val="00E70608"/>
    <w:rsid w:val="00E70D21"/>
    <w:rsid w:val="00E70F44"/>
    <w:rsid w:val="00E70FAA"/>
    <w:rsid w:val="00E7277B"/>
    <w:rsid w:val="00E742E0"/>
    <w:rsid w:val="00E74F43"/>
    <w:rsid w:val="00E763D0"/>
    <w:rsid w:val="00E77FC7"/>
    <w:rsid w:val="00E81229"/>
    <w:rsid w:val="00E81619"/>
    <w:rsid w:val="00E83303"/>
    <w:rsid w:val="00E83A79"/>
    <w:rsid w:val="00E85866"/>
    <w:rsid w:val="00E86061"/>
    <w:rsid w:val="00E86C05"/>
    <w:rsid w:val="00E86C47"/>
    <w:rsid w:val="00E87616"/>
    <w:rsid w:val="00E87D32"/>
    <w:rsid w:val="00E87EF9"/>
    <w:rsid w:val="00E90330"/>
    <w:rsid w:val="00E90AAB"/>
    <w:rsid w:val="00E912E3"/>
    <w:rsid w:val="00E91550"/>
    <w:rsid w:val="00E9193E"/>
    <w:rsid w:val="00E919E2"/>
    <w:rsid w:val="00E92157"/>
    <w:rsid w:val="00E9294E"/>
    <w:rsid w:val="00E92A31"/>
    <w:rsid w:val="00E93230"/>
    <w:rsid w:val="00E932EB"/>
    <w:rsid w:val="00E93EC8"/>
    <w:rsid w:val="00E9499D"/>
    <w:rsid w:val="00E95898"/>
    <w:rsid w:val="00E96572"/>
    <w:rsid w:val="00E96B7B"/>
    <w:rsid w:val="00E97023"/>
    <w:rsid w:val="00E977AD"/>
    <w:rsid w:val="00EA0007"/>
    <w:rsid w:val="00EA1450"/>
    <w:rsid w:val="00EA1505"/>
    <w:rsid w:val="00EA277A"/>
    <w:rsid w:val="00EA43D2"/>
    <w:rsid w:val="00EA4533"/>
    <w:rsid w:val="00EA468C"/>
    <w:rsid w:val="00EA4CEF"/>
    <w:rsid w:val="00EA6534"/>
    <w:rsid w:val="00EA6779"/>
    <w:rsid w:val="00EA6DDD"/>
    <w:rsid w:val="00EA7838"/>
    <w:rsid w:val="00EB027D"/>
    <w:rsid w:val="00EB0530"/>
    <w:rsid w:val="00EB0C95"/>
    <w:rsid w:val="00EB0E81"/>
    <w:rsid w:val="00EB19C6"/>
    <w:rsid w:val="00EB1A6F"/>
    <w:rsid w:val="00EB1BC5"/>
    <w:rsid w:val="00EB2B79"/>
    <w:rsid w:val="00EB3C28"/>
    <w:rsid w:val="00EB4E05"/>
    <w:rsid w:val="00EB4E25"/>
    <w:rsid w:val="00EB70D7"/>
    <w:rsid w:val="00EB7362"/>
    <w:rsid w:val="00EB7EB2"/>
    <w:rsid w:val="00EB7EE2"/>
    <w:rsid w:val="00EC0711"/>
    <w:rsid w:val="00EC1D54"/>
    <w:rsid w:val="00EC1DA9"/>
    <w:rsid w:val="00EC2F51"/>
    <w:rsid w:val="00EC439F"/>
    <w:rsid w:val="00EC59DC"/>
    <w:rsid w:val="00EC5C45"/>
    <w:rsid w:val="00EC7C19"/>
    <w:rsid w:val="00EC7E73"/>
    <w:rsid w:val="00ED0A91"/>
    <w:rsid w:val="00ED0D6A"/>
    <w:rsid w:val="00ED10AD"/>
    <w:rsid w:val="00ED120F"/>
    <w:rsid w:val="00ED12A9"/>
    <w:rsid w:val="00ED26FF"/>
    <w:rsid w:val="00ED38A4"/>
    <w:rsid w:val="00ED3CDF"/>
    <w:rsid w:val="00ED4A30"/>
    <w:rsid w:val="00ED4EDF"/>
    <w:rsid w:val="00ED4F3D"/>
    <w:rsid w:val="00ED5905"/>
    <w:rsid w:val="00ED59B4"/>
    <w:rsid w:val="00ED67EB"/>
    <w:rsid w:val="00ED6BD0"/>
    <w:rsid w:val="00ED7781"/>
    <w:rsid w:val="00ED7C62"/>
    <w:rsid w:val="00EE1A19"/>
    <w:rsid w:val="00EE3D97"/>
    <w:rsid w:val="00EE58BE"/>
    <w:rsid w:val="00EE6DA3"/>
    <w:rsid w:val="00EE74BE"/>
    <w:rsid w:val="00EE7D78"/>
    <w:rsid w:val="00EE7F6A"/>
    <w:rsid w:val="00EF017F"/>
    <w:rsid w:val="00EF04B8"/>
    <w:rsid w:val="00EF138E"/>
    <w:rsid w:val="00EF1849"/>
    <w:rsid w:val="00EF2150"/>
    <w:rsid w:val="00EF223F"/>
    <w:rsid w:val="00EF34F2"/>
    <w:rsid w:val="00EF372B"/>
    <w:rsid w:val="00EF3782"/>
    <w:rsid w:val="00EF3D7C"/>
    <w:rsid w:val="00EF4471"/>
    <w:rsid w:val="00EF44DA"/>
    <w:rsid w:val="00EF4AD9"/>
    <w:rsid w:val="00EF518D"/>
    <w:rsid w:val="00EF5C3E"/>
    <w:rsid w:val="00EF6431"/>
    <w:rsid w:val="00EF6FE1"/>
    <w:rsid w:val="00EF7164"/>
    <w:rsid w:val="00EF783F"/>
    <w:rsid w:val="00EF79FB"/>
    <w:rsid w:val="00F02042"/>
    <w:rsid w:val="00F02BD8"/>
    <w:rsid w:val="00F02D4E"/>
    <w:rsid w:val="00F0304F"/>
    <w:rsid w:val="00F03357"/>
    <w:rsid w:val="00F037FC"/>
    <w:rsid w:val="00F03E26"/>
    <w:rsid w:val="00F0432B"/>
    <w:rsid w:val="00F04F06"/>
    <w:rsid w:val="00F053D5"/>
    <w:rsid w:val="00F05A62"/>
    <w:rsid w:val="00F06494"/>
    <w:rsid w:val="00F064EB"/>
    <w:rsid w:val="00F06D25"/>
    <w:rsid w:val="00F07C19"/>
    <w:rsid w:val="00F07F35"/>
    <w:rsid w:val="00F102AF"/>
    <w:rsid w:val="00F103A5"/>
    <w:rsid w:val="00F103FC"/>
    <w:rsid w:val="00F10D6A"/>
    <w:rsid w:val="00F111D4"/>
    <w:rsid w:val="00F111DE"/>
    <w:rsid w:val="00F128E4"/>
    <w:rsid w:val="00F129C9"/>
    <w:rsid w:val="00F136E1"/>
    <w:rsid w:val="00F13A80"/>
    <w:rsid w:val="00F13B3D"/>
    <w:rsid w:val="00F14304"/>
    <w:rsid w:val="00F1484A"/>
    <w:rsid w:val="00F14F90"/>
    <w:rsid w:val="00F152AF"/>
    <w:rsid w:val="00F163E2"/>
    <w:rsid w:val="00F1774F"/>
    <w:rsid w:val="00F2236F"/>
    <w:rsid w:val="00F22C8E"/>
    <w:rsid w:val="00F23353"/>
    <w:rsid w:val="00F23EAE"/>
    <w:rsid w:val="00F2410C"/>
    <w:rsid w:val="00F24600"/>
    <w:rsid w:val="00F24620"/>
    <w:rsid w:val="00F250A5"/>
    <w:rsid w:val="00F25DC0"/>
    <w:rsid w:val="00F27E9C"/>
    <w:rsid w:val="00F302F3"/>
    <w:rsid w:val="00F3043E"/>
    <w:rsid w:val="00F31B4D"/>
    <w:rsid w:val="00F3233F"/>
    <w:rsid w:val="00F340F3"/>
    <w:rsid w:val="00F3456E"/>
    <w:rsid w:val="00F353C3"/>
    <w:rsid w:val="00F35908"/>
    <w:rsid w:val="00F359A0"/>
    <w:rsid w:val="00F3609E"/>
    <w:rsid w:val="00F36100"/>
    <w:rsid w:val="00F36439"/>
    <w:rsid w:val="00F3658C"/>
    <w:rsid w:val="00F425CC"/>
    <w:rsid w:val="00F42D6C"/>
    <w:rsid w:val="00F43000"/>
    <w:rsid w:val="00F435DC"/>
    <w:rsid w:val="00F43FCD"/>
    <w:rsid w:val="00F44049"/>
    <w:rsid w:val="00F45681"/>
    <w:rsid w:val="00F45B9A"/>
    <w:rsid w:val="00F45D8C"/>
    <w:rsid w:val="00F462A3"/>
    <w:rsid w:val="00F46666"/>
    <w:rsid w:val="00F5082E"/>
    <w:rsid w:val="00F50854"/>
    <w:rsid w:val="00F55D76"/>
    <w:rsid w:val="00F55F44"/>
    <w:rsid w:val="00F5673A"/>
    <w:rsid w:val="00F609B8"/>
    <w:rsid w:val="00F60FE1"/>
    <w:rsid w:val="00F6181B"/>
    <w:rsid w:val="00F61C3E"/>
    <w:rsid w:val="00F61D0D"/>
    <w:rsid w:val="00F62460"/>
    <w:rsid w:val="00F6383A"/>
    <w:rsid w:val="00F63CAF"/>
    <w:rsid w:val="00F63D73"/>
    <w:rsid w:val="00F64624"/>
    <w:rsid w:val="00F6551A"/>
    <w:rsid w:val="00F66AAD"/>
    <w:rsid w:val="00F66C8F"/>
    <w:rsid w:val="00F67669"/>
    <w:rsid w:val="00F67777"/>
    <w:rsid w:val="00F7082D"/>
    <w:rsid w:val="00F708DB"/>
    <w:rsid w:val="00F7249C"/>
    <w:rsid w:val="00F72E98"/>
    <w:rsid w:val="00F73533"/>
    <w:rsid w:val="00F738D7"/>
    <w:rsid w:val="00F741AE"/>
    <w:rsid w:val="00F758BF"/>
    <w:rsid w:val="00F76578"/>
    <w:rsid w:val="00F77050"/>
    <w:rsid w:val="00F770DB"/>
    <w:rsid w:val="00F7744E"/>
    <w:rsid w:val="00F80FA7"/>
    <w:rsid w:val="00F81E38"/>
    <w:rsid w:val="00F82F8C"/>
    <w:rsid w:val="00F8553C"/>
    <w:rsid w:val="00F85E11"/>
    <w:rsid w:val="00F86248"/>
    <w:rsid w:val="00F87B8C"/>
    <w:rsid w:val="00F90E94"/>
    <w:rsid w:val="00F9161C"/>
    <w:rsid w:val="00F919EC"/>
    <w:rsid w:val="00F91B06"/>
    <w:rsid w:val="00F91CE0"/>
    <w:rsid w:val="00F93A08"/>
    <w:rsid w:val="00F93E53"/>
    <w:rsid w:val="00F94323"/>
    <w:rsid w:val="00F948DE"/>
    <w:rsid w:val="00F948EA"/>
    <w:rsid w:val="00F95104"/>
    <w:rsid w:val="00F9572F"/>
    <w:rsid w:val="00F959A3"/>
    <w:rsid w:val="00F95F19"/>
    <w:rsid w:val="00F972CF"/>
    <w:rsid w:val="00FA0E5A"/>
    <w:rsid w:val="00FA273F"/>
    <w:rsid w:val="00FA2931"/>
    <w:rsid w:val="00FA3BEA"/>
    <w:rsid w:val="00FA3EC9"/>
    <w:rsid w:val="00FA42E5"/>
    <w:rsid w:val="00FA4C9C"/>
    <w:rsid w:val="00FA4DA3"/>
    <w:rsid w:val="00FA5A58"/>
    <w:rsid w:val="00FA70F2"/>
    <w:rsid w:val="00FA796B"/>
    <w:rsid w:val="00FA7D05"/>
    <w:rsid w:val="00FB012B"/>
    <w:rsid w:val="00FB0BB4"/>
    <w:rsid w:val="00FB0C1A"/>
    <w:rsid w:val="00FB11D6"/>
    <w:rsid w:val="00FB15D3"/>
    <w:rsid w:val="00FB16F2"/>
    <w:rsid w:val="00FB1EB6"/>
    <w:rsid w:val="00FB2462"/>
    <w:rsid w:val="00FB3CCB"/>
    <w:rsid w:val="00FB454B"/>
    <w:rsid w:val="00FB507C"/>
    <w:rsid w:val="00FB7ACB"/>
    <w:rsid w:val="00FC0431"/>
    <w:rsid w:val="00FC06CB"/>
    <w:rsid w:val="00FC0E17"/>
    <w:rsid w:val="00FC1592"/>
    <w:rsid w:val="00FC1DFE"/>
    <w:rsid w:val="00FC3052"/>
    <w:rsid w:val="00FC3761"/>
    <w:rsid w:val="00FC3E9A"/>
    <w:rsid w:val="00FC4854"/>
    <w:rsid w:val="00FC4BC7"/>
    <w:rsid w:val="00FC5B8E"/>
    <w:rsid w:val="00FC5DC5"/>
    <w:rsid w:val="00FC74F7"/>
    <w:rsid w:val="00FC788E"/>
    <w:rsid w:val="00FD045F"/>
    <w:rsid w:val="00FD0718"/>
    <w:rsid w:val="00FD1366"/>
    <w:rsid w:val="00FD1373"/>
    <w:rsid w:val="00FD15B6"/>
    <w:rsid w:val="00FD275F"/>
    <w:rsid w:val="00FD2AE4"/>
    <w:rsid w:val="00FD37FF"/>
    <w:rsid w:val="00FD3CD3"/>
    <w:rsid w:val="00FD41B0"/>
    <w:rsid w:val="00FD43C1"/>
    <w:rsid w:val="00FD4C74"/>
    <w:rsid w:val="00FD5AC2"/>
    <w:rsid w:val="00FD5FD3"/>
    <w:rsid w:val="00FD62F0"/>
    <w:rsid w:val="00FD7D17"/>
    <w:rsid w:val="00FE030D"/>
    <w:rsid w:val="00FE0EAC"/>
    <w:rsid w:val="00FE13D7"/>
    <w:rsid w:val="00FE1B08"/>
    <w:rsid w:val="00FE1F2F"/>
    <w:rsid w:val="00FE2210"/>
    <w:rsid w:val="00FE24D5"/>
    <w:rsid w:val="00FE2C4D"/>
    <w:rsid w:val="00FE3A94"/>
    <w:rsid w:val="00FE5301"/>
    <w:rsid w:val="00FE5656"/>
    <w:rsid w:val="00FE5F95"/>
    <w:rsid w:val="00FE65D3"/>
    <w:rsid w:val="00FE6BB4"/>
    <w:rsid w:val="00FE71DE"/>
    <w:rsid w:val="00FE7256"/>
    <w:rsid w:val="00FF03A2"/>
    <w:rsid w:val="00FF07BC"/>
    <w:rsid w:val="00FF0994"/>
    <w:rsid w:val="00FF0E7B"/>
    <w:rsid w:val="00FF11CD"/>
    <w:rsid w:val="00FF1AB5"/>
    <w:rsid w:val="00FF1D2D"/>
    <w:rsid w:val="00FF3305"/>
    <w:rsid w:val="00FF3468"/>
    <w:rsid w:val="00FF3BA6"/>
    <w:rsid w:val="00FF5FC7"/>
    <w:rsid w:val="00FF68AC"/>
    <w:rsid w:val="00FF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7E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93CC4"/>
    <w:pPr>
      <w:numPr>
        <w:numId w:val="2"/>
      </w:numPr>
      <w:spacing w:line="480" w:lineRule="auto"/>
      <w:jc w:val="center"/>
      <w:outlineLvl w:val="0"/>
    </w:pPr>
    <w:rPr>
      <w:rFonts w:cs="Times New Roman"/>
      <w:sz w:val="24"/>
      <w:szCs w:val="24"/>
    </w:rPr>
  </w:style>
  <w:style w:type="paragraph" w:styleId="Heading2">
    <w:name w:val="heading 2"/>
    <w:basedOn w:val="ListParagraph"/>
    <w:next w:val="Normal"/>
    <w:link w:val="Heading2Char"/>
    <w:uiPriority w:val="9"/>
    <w:unhideWhenUsed/>
    <w:qFormat/>
    <w:rsid w:val="00021DB6"/>
    <w:pPr>
      <w:widowControl w:val="0"/>
      <w:numPr>
        <w:numId w:val="7"/>
      </w:numPr>
      <w:spacing w:line="480" w:lineRule="auto"/>
      <w:jc w:val="center"/>
      <w:outlineLvl w:val="1"/>
    </w:pPr>
    <w:rPr>
      <w:rFonts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CC4"/>
    <w:rPr>
      <w:rFonts w:cs="Times New Roman"/>
      <w:sz w:val="24"/>
      <w:szCs w:val="24"/>
    </w:rPr>
  </w:style>
  <w:style w:type="paragraph" w:styleId="FootnoteText">
    <w:name w:val="footnote text"/>
    <w:basedOn w:val="Normal"/>
    <w:link w:val="FootnoteTextChar"/>
    <w:uiPriority w:val="99"/>
    <w:unhideWhenUsed/>
    <w:rsid w:val="001405BC"/>
  </w:style>
  <w:style w:type="character" w:customStyle="1" w:styleId="FootnoteTextChar">
    <w:name w:val="Footnote Text Char"/>
    <w:basedOn w:val="DefaultParagraphFont"/>
    <w:link w:val="FootnoteText"/>
    <w:uiPriority w:val="99"/>
    <w:rsid w:val="001405BC"/>
  </w:style>
  <w:style w:type="character" w:styleId="FootnoteReference">
    <w:name w:val="footnote reference"/>
    <w:basedOn w:val="DefaultParagraphFont"/>
    <w:uiPriority w:val="99"/>
    <w:unhideWhenUsed/>
    <w:rsid w:val="001405BC"/>
    <w:rPr>
      <w:vertAlign w:val="superscript"/>
    </w:rPr>
  </w:style>
  <w:style w:type="paragraph" w:styleId="Footer">
    <w:name w:val="footer"/>
    <w:basedOn w:val="Normal"/>
    <w:link w:val="FooterChar"/>
    <w:uiPriority w:val="99"/>
    <w:unhideWhenUsed/>
    <w:rsid w:val="00CE79E7"/>
    <w:pPr>
      <w:tabs>
        <w:tab w:val="center" w:pos="4320"/>
        <w:tab w:val="right" w:pos="8640"/>
      </w:tabs>
    </w:pPr>
  </w:style>
  <w:style w:type="character" w:customStyle="1" w:styleId="FooterChar">
    <w:name w:val="Footer Char"/>
    <w:basedOn w:val="DefaultParagraphFont"/>
    <w:link w:val="Footer"/>
    <w:uiPriority w:val="99"/>
    <w:rsid w:val="00CE79E7"/>
  </w:style>
  <w:style w:type="character" w:styleId="PageNumber">
    <w:name w:val="page number"/>
    <w:basedOn w:val="DefaultParagraphFont"/>
    <w:uiPriority w:val="99"/>
    <w:semiHidden/>
    <w:unhideWhenUsed/>
    <w:rsid w:val="00CE79E7"/>
  </w:style>
  <w:style w:type="paragraph" w:styleId="ListParagraph">
    <w:name w:val="List Paragraph"/>
    <w:basedOn w:val="Normal"/>
    <w:uiPriority w:val="34"/>
    <w:qFormat/>
    <w:rsid w:val="00C3677C"/>
    <w:pPr>
      <w:ind w:left="720"/>
      <w:contextualSpacing/>
    </w:pPr>
  </w:style>
  <w:style w:type="paragraph" w:styleId="DocumentMap">
    <w:name w:val="Document Map"/>
    <w:basedOn w:val="Normal"/>
    <w:link w:val="DocumentMapChar"/>
    <w:uiPriority w:val="99"/>
    <w:semiHidden/>
    <w:unhideWhenUsed/>
    <w:rsid w:val="0015449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449B"/>
    <w:rPr>
      <w:rFonts w:ascii="Lucida Grande" w:hAnsi="Lucida Grande" w:cs="Lucida Grande"/>
      <w:sz w:val="24"/>
      <w:szCs w:val="24"/>
    </w:rPr>
  </w:style>
  <w:style w:type="character" w:styleId="Hyperlink">
    <w:name w:val="Hyperlink"/>
    <w:basedOn w:val="DefaultParagraphFont"/>
    <w:uiPriority w:val="99"/>
    <w:unhideWhenUsed/>
    <w:rsid w:val="004F1AF2"/>
    <w:rPr>
      <w:color w:val="0000FF" w:themeColor="hyperlink"/>
      <w:u w:val="single"/>
    </w:rPr>
  </w:style>
  <w:style w:type="character" w:customStyle="1" w:styleId="Heading2Char">
    <w:name w:val="Heading 2 Char"/>
    <w:basedOn w:val="DefaultParagraphFont"/>
    <w:link w:val="Heading2"/>
    <w:uiPriority w:val="9"/>
    <w:rsid w:val="00021DB6"/>
    <w:rPr>
      <w:rFonts w:cs="Times New Roman"/>
      <w:i/>
      <w:sz w:val="24"/>
      <w:szCs w:val="24"/>
    </w:rPr>
  </w:style>
  <w:style w:type="paragraph" w:styleId="Header">
    <w:name w:val="header"/>
    <w:basedOn w:val="Normal"/>
    <w:link w:val="HeaderChar"/>
    <w:uiPriority w:val="99"/>
    <w:unhideWhenUsed/>
    <w:rsid w:val="00076B3B"/>
    <w:pPr>
      <w:tabs>
        <w:tab w:val="center" w:pos="4320"/>
        <w:tab w:val="right" w:pos="8640"/>
      </w:tabs>
    </w:pPr>
  </w:style>
  <w:style w:type="character" w:customStyle="1" w:styleId="HeaderChar">
    <w:name w:val="Header Char"/>
    <w:basedOn w:val="DefaultParagraphFont"/>
    <w:link w:val="Header"/>
    <w:uiPriority w:val="99"/>
    <w:rsid w:val="00076B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493CC4"/>
    <w:pPr>
      <w:numPr>
        <w:numId w:val="2"/>
      </w:numPr>
      <w:spacing w:line="480" w:lineRule="auto"/>
      <w:jc w:val="center"/>
      <w:outlineLvl w:val="0"/>
    </w:pPr>
    <w:rPr>
      <w:rFonts w:cs="Times New Roman"/>
      <w:sz w:val="24"/>
      <w:szCs w:val="24"/>
    </w:rPr>
  </w:style>
  <w:style w:type="paragraph" w:styleId="Heading2">
    <w:name w:val="heading 2"/>
    <w:basedOn w:val="ListParagraph"/>
    <w:next w:val="Normal"/>
    <w:link w:val="Heading2Char"/>
    <w:uiPriority w:val="9"/>
    <w:unhideWhenUsed/>
    <w:qFormat/>
    <w:rsid w:val="00021DB6"/>
    <w:pPr>
      <w:widowControl w:val="0"/>
      <w:numPr>
        <w:numId w:val="7"/>
      </w:numPr>
      <w:spacing w:line="480" w:lineRule="auto"/>
      <w:jc w:val="center"/>
      <w:outlineLvl w:val="1"/>
    </w:pPr>
    <w:rPr>
      <w:rFonts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CC4"/>
    <w:rPr>
      <w:rFonts w:cs="Times New Roman"/>
      <w:sz w:val="24"/>
      <w:szCs w:val="24"/>
    </w:rPr>
  </w:style>
  <w:style w:type="paragraph" w:styleId="FootnoteText">
    <w:name w:val="footnote text"/>
    <w:basedOn w:val="Normal"/>
    <w:link w:val="FootnoteTextChar"/>
    <w:uiPriority w:val="99"/>
    <w:unhideWhenUsed/>
    <w:rsid w:val="001405BC"/>
  </w:style>
  <w:style w:type="character" w:customStyle="1" w:styleId="FootnoteTextChar">
    <w:name w:val="Footnote Text Char"/>
    <w:basedOn w:val="DefaultParagraphFont"/>
    <w:link w:val="FootnoteText"/>
    <w:uiPriority w:val="99"/>
    <w:rsid w:val="001405BC"/>
  </w:style>
  <w:style w:type="character" w:styleId="FootnoteReference">
    <w:name w:val="footnote reference"/>
    <w:basedOn w:val="DefaultParagraphFont"/>
    <w:uiPriority w:val="99"/>
    <w:unhideWhenUsed/>
    <w:rsid w:val="001405BC"/>
    <w:rPr>
      <w:vertAlign w:val="superscript"/>
    </w:rPr>
  </w:style>
  <w:style w:type="paragraph" w:styleId="Footer">
    <w:name w:val="footer"/>
    <w:basedOn w:val="Normal"/>
    <w:link w:val="FooterChar"/>
    <w:uiPriority w:val="99"/>
    <w:unhideWhenUsed/>
    <w:rsid w:val="00CE79E7"/>
    <w:pPr>
      <w:tabs>
        <w:tab w:val="center" w:pos="4320"/>
        <w:tab w:val="right" w:pos="8640"/>
      </w:tabs>
    </w:pPr>
  </w:style>
  <w:style w:type="character" w:customStyle="1" w:styleId="FooterChar">
    <w:name w:val="Footer Char"/>
    <w:basedOn w:val="DefaultParagraphFont"/>
    <w:link w:val="Footer"/>
    <w:uiPriority w:val="99"/>
    <w:rsid w:val="00CE79E7"/>
  </w:style>
  <w:style w:type="character" w:styleId="PageNumber">
    <w:name w:val="page number"/>
    <w:basedOn w:val="DefaultParagraphFont"/>
    <w:uiPriority w:val="99"/>
    <w:semiHidden/>
    <w:unhideWhenUsed/>
    <w:rsid w:val="00CE79E7"/>
  </w:style>
  <w:style w:type="paragraph" w:styleId="ListParagraph">
    <w:name w:val="List Paragraph"/>
    <w:basedOn w:val="Normal"/>
    <w:uiPriority w:val="34"/>
    <w:qFormat/>
    <w:rsid w:val="00C3677C"/>
    <w:pPr>
      <w:ind w:left="720"/>
      <w:contextualSpacing/>
    </w:pPr>
  </w:style>
  <w:style w:type="paragraph" w:styleId="DocumentMap">
    <w:name w:val="Document Map"/>
    <w:basedOn w:val="Normal"/>
    <w:link w:val="DocumentMapChar"/>
    <w:uiPriority w:val="99"/>
    <w:semiHidden/>
    <w:unhideWhenUsed/>
    <w:rsid w:val="0015449B"/>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449B"/>
    <w:rPr>
      <w:rFonts w:ascii="Lucida Grande" w:hAnsi="Lucida Grande" w:cs="Lucida Grande"/>
      <w:sz w:val="24"/>
      <w:szCs w:val="24"/>
    </w:rPr>
  </w:style>
  <w:style w:type="character" w:styleId="Hyperlink">
    <w:name w:val="Hyperlink"/>
    <w:basedOn w:val="DefaultParagraphFont"/>
    <w:uiPriority w:val="99"/>
    <w:unhideWhenUsed/>
    <w:rsid w:val="004F1AF2"/>
    <w:rPr>
      <w:color w:val="0000FF" w:themeColor="hyperlink"/>
      <w:u w:val="single"/>
    </w:rPr>
  </w:style>
  <w:style w:type="character" w:customStyle="1" w:styleId="Heading2Char">
    <w:name w:val="Heading 2 Char"/>
    <w:basedOn w:val="DefaultParagraphFont"/>
    <w:link w:val="Heading2"/>
    <w:uiPriority w:val="9"/>
    <w:rsid w:val="00021DB6"/>
    <w:rPr>
      <w:rFonts w:cs="Times New Roman"/>
      <w:i/>
      <w:sz w:val="24"/>
      <w:szCs w:val="24"/>
    </w:rPr>
  </w:style>
  <w:style w:type="paragraph" w:styleId="Header">
    <w:name w:val="header"/>
    <w:basedOn w:val="Normal"/>
    <w:link w:val="HeaderChar"/>
    <w:uiPriority w:val="99"/>
    <w:unhideWhenUsed/>
    <w:rsid w:val="00076B3B"/>
    <w:pPr>
      <w:tabs>
        <w:tab w:val="center" w:pos="4320"/>
        <w:tab w:val="right" w:pos="8640"/>
      </w:tabs>
    </w:pPr>
  </w:style>
  <w:style w:type="character" w:customStyle="1" w:styleId="HeaderChar">
    <w:name w:val="Header Char"/>
    <w:basedOn w:val="DefaultParagraphFont"/>
    <w:link w:val="Header"/>
    <w:uiPriority w:val="99"/>
    <w:rsid w:val="00076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EAFD-5597-DD4B-AB18-069AA105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6011</Words>
  <Characters>34267</Characters>
  <Application>Microsoft Macintosh Word</Application>
  <DocSecurity>0</DocSecurity>
  <Lines>285</Lines>
  <Paragraphs>80</Paragraphs>
  <ScaleCrop>false</ScaleCrop>
  <Company/>
  <LinksUpToDate>false</LinksUpToDate>
  <CharactersWithSpaces>40198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Buckley</dc:creator>
  <cp:keywords/>
  <dc:description/>
  <cp:lastModifiedBy>Lawrence Hamermesh</cp:lastModifiedBy>
  <cp:revision>2</cp:revision>
  <cp:lastPrinted>2015-02-19T23:28:00Z</cp:lastPrinted>
  <dcterms:created xsi:type="dcterms:W3CDTF">2015-05-26T00:30:00Z</dcterms:created>
  <dcterms:modified xsi:type="dcterms:W3CDTF">2015-05-26T00:30:00Z</dcterms:modified>
</cp:coreProperties>
</file>